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1E47C">
      <w:pPr>
        <w:widowControl/>
        <w:numPr>
          <w:ilvl w:val="0"/>
          <w:numId w:val="0"/>
        </w:numPr>
        <w:tabs>
          <w:tab w:val="left" w:pos="601"/>
          <w:tab w:val="center" w:pos="4213"/>
        </w:tabs>
        <w:ind w:right="0" w:rightChars="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南通通湾旅游开发有限公司金石国际大酒店</w:t>
      </w:r>
    </w:p>
    <w:p w14:paraId="52834FBF">
      <w:pPr>
        <w:widowControl/>
        <w:ind w:right="0"/>
        <w:jc w:val="center"/>
        <w:rPr>
          <w:rFonts w:hint="default"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中南厅扩音改造项目</w:t>
      </w:r>
    </w:p>
    <w:p w14:paraId="7FDE9933">
      <w:pPr>
        <w:spacing w:line="360" w:lineRule="auto"/>
        <w:ind w:firstLine="1928"/>
        <w:jc w:val="both"/>
        <w:rPr>
          <w:rFonts w:hint="eastAsia" w:ascii="宋体" w:hAnsi="宋体"/>
          <w:b/>
          <w:sz w:val="96"/>
          <w:szCs w:val="96"/>
        </w:rPr>
      </w:pPr>
    </w:p>
    <w:p w14:paraId="36AF2B78">
      <w:pPr>
        <w:spacing w:line="360" w:lineRule="auto"/>
        <w:ind w:firstLine="3220" w:firstLineChars="700"/>
        <w:jc w:val="both"/>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pPr>
    </w:p>
    <w:p w14:paraId="61F3478F">
      <w:pPr>
        <w:spacing w:line="360" w:lineRule="auto"/>
        <w:ind w:firstLine="3220" w:firstLineChars="700"/>
        <w:jc w:val="both"/>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pPr>
    </w:p>
    <w:p w14:paraId="7A8319B7">
      <w:pPr>
        <w:spacing w:line="360" w:lineRule="auto"/>
        <w:ind w:firstLine="3220" w:firstLineChars="700"/>
        <w:jc w:val="both"/>
        <w:rPr>
          <w:rFonts w:ascii="宋体" w:hAnsi="宋体"/>
          <w:b w:val="0"/>
          <w:bCs w:val="0"/>
          <w:sz w:val="48"/>
          <w:szCs w:val="48"/>
        </w:rPr>
      </w:pPr>
      <w:r>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t>询价函</w:t>
      </w:r>
    </w:p>
    <w:p w14:paraId="12E21BB7">
      <w:pPr>
        <w:spacing w:line="360" w:lineRule="auto"/>
        <w:ind w:firstLine="723"/>
        <w:jc w:val="center"/>
        <w:rPr>
          <w:rFonts w:ascii="宋体" w:hAnsi="宋体"/>
          <w:b/>
          <w:sz w:val="36"/>
        </w:rPr>
      </w:pPr>
    </w:p>
    <w:p w14:paraId="70D46A16">
      <w:pPr>
        <w:spacing w:line="500" w:lineRule="exact"/>
        <w:ind w:firstLine="640"/>
        <w:jc w:val="center"/>
        <w:rPr>
          <w:rFonts w:ascii="宋体" w:hAnsi="宋体"/>
          <w:sz w:val="32"/>
        </w:rPr>
      </w:pPr>
    </w:p>
    <w:p w14:paraId="0892FA2A">
      <w:pPr>
        <w:spacing w:line="500" w:lineRule="exact"/>
        <w:ind w:firstLine="640"/>
        <w:jc w:val="center"/>
        <w:rPr>
          <w:rFonts w:ascii="宋体" w:hAnsi="宋体"/>
          <w:spacing w:val="20"/>
          <w:sz w:val="28"/>
          <w:szCs w:val="28"/>
        </w:rPr>
      </w:pPr>
    </w:p>
    <w:p w14:paraId="5ECC68DB">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5B527F4">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48BBCB6A">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6B5CD5F1">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78EA85E0">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6D9E7C7A">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222DA7CA">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6CAD6FA2">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7267F39C">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B4BF104">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697FE26B">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A273863">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spacing w:val="20"/>
          <w:sz w:val="28"/>
          <w:szCs w:val="28"/>
        </w:rPr>
        <w:t>采购单位：</w:t>
      </w: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南通通湾旅游开发有限公司金石国际大酒店</w:t>
      </w:r>
    </w:p>
    <w:p w14:paraId="6BFFA368">
      <w:pPr>
        <w:keepNext w:val="0"/>
        <w:keepLines w:val="0"/>
        <w:pageBreakBefore w:val="0"/>
        <w:widowControl/>
        <w:kinsoku/>
        <w:wordWrap/>
        <w:overflowPunct/>
        <w:topLinePunct w:val="0"/>
        <w:autoSpaceDE/>
        <w:autoSpaceDN/>
        <w:bidi w:val="0"/>
        <w:adjustRightInd/>
        <w:snapToGrid/>
        <w:spacing w:line="400" w:lineRule="exact"/>
        <w:ind w:firstLine="3360" w:firstLineChars="12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2025年8 月 18  日</w:t>
      </w:r>
    </w:p>
    <w:p w14:paraId="67A95781"/>
    <w:p w14:paraId="0D402A11"/>
    <w:p w14:paraId="6594693F"/>
    <w:p w14:paraId="76A9E8F0"/>
    <w:p w14:paraId="70477C6F"/>
    <w:p w14:paraId="46DE1BDD"/>
    <w:p w14:paraId="3A3FB643">
      <w:pPr>
        <w:spacing w:line="500" w:lineRule="exact"/>
        <w:ind w:firstLine="880"/>
        <w:jc w:val="center"/>
        <w:rPr>
          <w:sz w:val="44"/>
          <w:szCs w:val="44"/>
        </w:rPr>
      </w:pPr>
      <w:r>
        <w:rPr>
          <w:sz w:val="44"/>
          <w:szCs w:val="44"/>
        </w:rPr>
        <w:t>目      录</w:t>
      </w:r>
    </w:p>
    <w:p w14:paraId="49A161A9">
      <w:pPr>
        <w:spacing w:line="500" w:lineRule="exact"/>
        <w:ind w:firstLine="880"/>
        <w:jc w:val="center"/>
        <w:rPr>
          <w:sz w:val="44"/>
        </w:rPr>
      </w:pPr>
    </w:p>
    <w:p w14:paraId="71CBC7C1">
      <w:pPr>
        <w:tabs>
          <w:tab w:val="left" w:pos="7740"/>
        </w:tabs>
        <w:spacing w:line="500" w:lineRule="exact"/>
        <w:ind w:firstLine="640"/>
        <w:rPr>
          <w:bCs/>
          <w:sz w:val="32"/>
          <w:szCs w:val="32"/>
        </w:rPr>
      </w:pPr>
    </w:p>
    <w:p w14:paraId="758CB5B6">
      <w:pPr>
        <w:tabs>
          <w:tab w:val="left" w:pos="7740"/>
        </w:tabs>
        <w:spacing w:line="500" w:lineRule="exact"/>
        <w:ind w:firstLine="640"/>
        <w:rPr>
          <w:spacing w:val="2"/>
          <w:sz w:val="32"/>
          <w:szCs w:val="32"/>
        </w:rPr>
      </w:pPr>
      <w:r>
        <w:rPr>
          <w:bCs/>
          <w:sz w:val="32"/>
          <w:szCs w:val="32"/>
        </w:rPr>
        <w:t>第一部分  招标公告</w:t>
      </w:r>
    </w:p>
    <w:p w14:paraId="1DB226FA">
      <w:pPr>
        <w:tabs>
          <w:tab w:val="left" w:pos="7740"/>
        </w:tabs>
        <w:spacing w:line="500" w:lineRule="exact"/>
        <w:ind w:firstLine="640"/>
        <w:rPr>
          <w:sz w:val="32"/>
          <w:szCs w:val="32"/>
        </w:rPr>
      </w:pPr>
    </w:p>
    <w:p w14:paraId="0B6E19FB">
      <w:pPr>
        <w:tabs>
          <w:tab w:val="left" w:pos="7740"/>
        </w:tabs>
        <w:spacing w:line="500" w:lineRule="exact"/>
        <w:ind w:firstLine="640"/>
        <w:rPr>
          <w:spacing w:val="2"/>
          <w:sz w:val="32"/>
          <w:szCs w:val="32"/>
        </w:rPr>
      </w:pPr>
      <w:r>
        <w:rPr>
          <w:bCs/>
          <w:sz w:val="32"/>
          <w:szCs w:val="32"/>
        </w:rPr>
        <w:t>第二部分  项目需求说明</w:t>
      </w:r>
    </w:p>
    <w:p w14:paraId="7824145E">
      <w:pPr>
        <w:spacing w:line="500" w:lineRule="exact"/>
        <w:ind w:firstLine="640"/>
        <w:rPr>
          <w:sz w:val="32"/>
          <w:szCs w:val="32"/>
        </w:rPr>
      </w:pPr>
    </w:p>
    <w:p w14:paraId="55661216">
      <w:pPr>
        <w:tabs>
          <w:tab w:val="left" w:pos="7740"/>
        </w:tabs>
        <w:spacing w:line="500" w:lineRule="exact"/>
        <w:ind w:firstLine="640" w:firstLineChars="200"/>
        <w:rPr>
          <w:spacing w:val="2"/>
          <w:sz w:val="32"/>
          <w:szCs w:val="32"/>
        </w:rPr>
      </w:pPr>
      <w:r>
        <w:rPr>
          <w:sz w:val="32"/>
          <w:szCs w:val="32"/>
        </w:rPr>
        <w:t>第</w:t>
      </w:r>
      <w:r>
        <w:rPr>
          <w:rFonts w:hint="eastAsia"/>
          <w:sz w:val="32"/>
          <w:szCs w:val="32"/>
          <w:lang w:val="en-US" w:eastAsia="zh-CN"/>
        </w:rPr>
        <w:t>三</w:t>
      </w:r>
      <w:r>
        <w:rPr>
          <w:sz w:val="32"/>
          <w:szCs w:val="32"/>
        </w:rPr>
        <w:t xml:space="preserve">部分  </w:t>
      </w:r>
      <w:r>
        <w:rPr>
          <w:bCs/>
          <w:sz w:val="32"/>
          <w:szCs w:val="32"/>
        </w:rPr>
        <w:t>合同签订与验收付款</w:t>
      </w:r>
    </w:p>
    <w:p w14:paraId="6BC05732">
      <w:pPr>
        <w:spacing w:line="500" w:lineRule="exact"/>
        <w:ind w:firstLine="640"/>
        <w:rPr>
          <w:sz w:val="32"/>
          <w:szCs w:val="32"/>
        </w:rPr>
      </w:pPr>
    </w:p>
    <w:p w14:paraId="38B7FC1D">
      <w:pPr>
        <w:tabs>
          <w:tab w:val="left" w:pos="7740"/>
        </w:tabs>
        <w:spacing w:line="500" w:lineRule="exact"/>
        <w:ind w:firstLine="640"/>
        <w:rPr>
          <w:spacing w:val="2"/>
          <w:sz w:val="32"/>
          <w:szCs w:val="32"/>
        </w:rPr>
      </w:pPr>
      <w:r>
        <w:rPr>
          <w:bCs/>
          <w:sz w:val="32"/>
          <w:szCs w:val="32"/>
        </w:rPr>
        <w:t>第</w:t>
      </w:r>
      <w:r>
        <w:rPr>
          <w:rFonts w:hint="eastAsia"/>
          <w:bCs/>
          <w:sz w:val="32"/>
          <w:szCs w:val="32"/>
          <w:lang w:val="en-US" w:eastAsia="zh-CN"/>
        </w:rPr>
        <w:t>四</w:t>
      </w:r>
      <w:r>
        <w:rPr>
          <w:bCs/>
          <w:sz w:val="32"/>
          <w:szCs w:val="32"/>
        </w:rPr>
        <w:t>部分  投标文件组成</w:t>
      </w:r>
    </w:p>
    <w:p w14:paraId="2B08EE06"/>
    <w:p w14:paraId="7EB029DD"/>
    <w:p w14:paraId="0AC46A5E"/>
    <w:p w14:paraId="58E95498"/>
    <w:p w14:paraId="5F23A58E"/>
    <w:p w14:paraId="532D0F07"/>
    <w:p w14:paraId="3EFADEDB"/>
    <w:p w14:paraId="797EDD57"/>
    <w:p w14:paraId="08B729C7"/>
    <w:p w14:paraId="222C6039"/>
    <w:p w14:paraId="6EE69B03"/>
    <w:p w14:paraId="45F2F3EC"/>
    <w:p w14:paraId="531EFC29"/>
    <w:p w14:paraId="2969679A"/>
    <w:p w14:paraId="2C0F28CA"/>
    <w:p w14:paraId="51B7234F"/>
    <w:p w14:paraId="736D9567"/>
    <w:p w14:paraId="48EF0E84"/>
    <w:p w14:paraId="4F61CE00"/>
    <w:p w14:paraId="0F868CDA"/>
    <w:p w14:paraId="4A494EF2"/>
    <w:p w14:paraId="250FDA4E"/>
    <w:p w14:paraId="4736A617"/>
    <w:p w14:paraId="250DE5A7"/>
    <w:p w14:paraId="13B848DD">
      <w:pPr>
        <w:snapToGrid w:val="0"/>
        <w:spacing w:line="300" w:lineRule="auto"/>
        <w:ind w:firstLine="2168" w:firstLineChars="600"/>
        <w:jc w:val="both"/>
        <w:outlineLvl w:val="0"/>
        <w:rPr>
          <w:b/>
          <w:sz w:val="36"/>
          <w:szCs w:val="36"/>
        </w:rPr>
      </w:pPr>
    </w:p>
    <w:p w14:paraId="112B8B77">
      <w:pPr>
        <w:snapToGrid w:val="0"/>
        <w:spacing w:line="300" w:lineRule="auto"/>
        <w:ind w:firstLine="2168" w:firstLineChars="600"/>
        <w:jc w:val="both"/>
        <w:outlineLvl w:val="0"/>
        <w:rPr>
          <w:b/>
          <w:sz w:val="36"/>
          <w:szCs w:val="36"/>
        </w:rPr>
      </w:pPr>
      <w:r>
        <w:rPr>
          <w:b/>
          <w:sz w:val="36"/>
          <w:szCs w:val="36"/>
        </w:rPr>
        <w:t xml:space="preserve">第一部分  </w:t>
      </w:r>
      <w:bookmarkStart w:id="0" w:name="OLE_LINK7"/>
      <w:bookmarkStart w:id="1" w:name="OLE_LINK5"/>
      <w:r>
        <w:rPr>
          <w:b/>
          <w:sz w:val="36"/>
          <w:szCs w:val="36"/>
        </w:rPr>
        <w:t>招标公告</w:t>
      </w:r>
    </w:p>
    <w:bookmarkEnd w:id="0"/>
    <w:bookmarkEnd w:id="1"/>
    <w:p w14:paraId="41AB3A86">
      <w:pPr>
        <w:snapToGrid w:val="0"/>
        <w:spacing w:line="360" w:lineRule="auto"/>
        <w:ind w:firstLine="480"/>
        <w:rPr>
          <w:sz w:val="24"/>
          <w:highlight w:val="none"/>
        </w:rPr>
      </w:pPr>
    </w:p>
    <w:p w14:paraId="55DC250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 xml:space="preserve"> 一、项目基本情况</w:t>
      </w:r>
    </w:p>
    <w:p w14:paraId="413FA25B">
      <w:pPr>
        <w:keepNext w:val="0"/>
        <w:keepLines w:val="0"/>
        <w:pageBreakBefore w:val="0"/>
        <w:widowControl/>
        <w:numPr>
          <w:ilvl w:val="0"/>
          <w:numId w:val="0"/>
        </w:numPr>
        <w:tabs>
          <w:tab w:val="left" w:pos="601"/>
          <w:tab w:val="center" w:pos="4213"/>
        </w:tabs>
        <w:kinsoku/>
        <w:wordWrap/>
        <w:overflowPunct/>
        <w:topLinePunct w:val="0"/>
        <w:autoSpaceDE/>
        <w:autoSpaceDN/>
        <w:bidi w:val="0"/>
        <w:adjustRightInd/>
        <w:spacing w:line="400" w:lineRule="exact"/>
        <w:ind w:right="0" w:rightChars="0" w:firstLine="480" w:firstLineChars="200"/>
        <w:jc w:val="both"/>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1、项目名称：南通通湾旅游开发有限公司金石国际大酒店中南厅扩音改造项目</w:t>
      </w:r>
    </w:p>
    <w:p w14:paraId="60F4798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最高限价：</w:t>
      </w:r>
      <w:r>
        <w:rPr>
          <w:rFonts w:hint="eastAsia" w:asciiTheme="majorEastAsia" w:hAnsiTheme="majorEastAsia" w:eastAsiaTheme="majorEastAsia" w:cstheme="majorEastAsia"/>
          <w:b/>
          <w:bCs/>
          <w:color w:val="auto"/>
          <w:sz w:val="24"/>
          <w:highlight w:val="none"/>
          <w:lang w:val="en-US" w:eastAsia="zh-CN"/>
        </w:rPr>
        <w:t>叁万元整</w:t>
      </w:r>
      <w:r>
        <w:rPr>
          <w:rFonts w:hint="eastAsia" w:asciiTheme="majorEastAsia" w:hAnsiTheme="majorEastAsia" w:eastAsiaTheme="majorEastAsia" w:cstheme="majorEastAsia"/>
          <w:color w:val="auto"/>
          <w:sz w:val="24"/>
          <w:highlight w:val="none"/>
        </w:rPr>
        <w:t>，超过最高限价的报价为无效报价</w:t>
      </w:r>
      <w:r>
        <w:rPr>
          <w:rFonts w:hint="eastAsia" w:asciiTheme="majorEastAsia" w:hAnsiTheme="majorEastAsia" w:eastAsiaTheme="majorEastAsia" w:cstheme="majorEastAsia"/>
          <w:color w:val="auto"/>
          <w:sz w:val="24"/>
          <w:highlight w:val="none"/>
          <w:lang w:eastAsia="zh-CN"/>
        </w:rPr>
        <w:t>。</w:t>
      </w:r>
    </w:p>
    <w:p w14:paraId="143DB8E3">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采购需求：详见</w:t>
      </w:r>
      <w:r>
        <w:rPr>
          <w:rFonts w:hint="eastAsia" w:asciiTheme="majorEastAsia" w:hAnsiTheme="majorEastAsia" w:eastAsiaTheme="majorEastAsia" w:cstheme="majorEastAsia"/>
          <w:spacing w:val="7"/>
          <w:kern w:val="0"/>
          <w:sz w:val="24"/>
        </w:rPr>
        <w:t>第</w:t>
      </w:r>
      <w:r>
        <w:rPr>
          <w:rFonts w:hint="eastAsia" w:asciiTheme="majorEastAsia" w:hAnsiTheme="majorEastAsia" w:eastAsiaTheme="majorEastAsia" w:cstheme="majorEastAsia"/>
          <w:spacing w:val="7"/>
          <w:kern w:val="0"/>
          <w:sz w:val="24"/>
          <w:lang w:val="en-US" w:eastAsia="zh-CN"/>
        </w:rPr>
        <w:t>二</w:t>
      </w:r>
      <w:r>
        <w:rPr>
          <w:rFonts w:hint="eastAsia" w:asciiTheme="majorEastAsia" w:hAnsiTheme="majorEastAsia" w:eastAsiaTheme="majorEastAsia" w:cstheme="majorEastAsia"/>
          <w:spacing w:val="7"/>
          <w:kern w:val="0"/>
          <w:sz w:val="24"/>
        </w:rPr>
        <w:t>部分</w:t>
      </w:r>
      <w:r>
        <w:rPr>
          <w:rFonts w:hint="eastAsia" w:asciiTheme="majorEastAsia" w:hAnsiTheme="majorEastAsia" w:eastAsiaTheme="majorEastAsia" w:cstheme="majorEastAsia"/>
          <w:sz w:val="24"/>
        </w:rPr>
        <w:t>项目需求。</w:t>
      </w:r>
    </w:p>
    <w:p w14:paraId="5070125A">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4、合同履行期限</w:t>
      </w:r>
      <w:bookmarkStart w:id="2" w:name="OLE_LINK16"/>
      <w:bookmarkStart w:id="3" w:name="OLE_LINK19"/>
      <w:r>
        <w:rPr>
          <w:rFonts w:hint="eastAsia" w:asciiTheme="majorEastAsia" w:hAnsiTheme="majorEastAsia" w:eastAsiaTheme="majorEastAsia" w:cstheme="majorEastAsia"/>
          <w:sz w:val="24"/>
          <w:lang w:val="en-US" w:eastAsia="zh-CN"/>
        </w:rPr>
        <w:t>：</w:t>
      </w:r>
      <w:bookmarkEnd w:id="2"/>
      <w:bookmarkEnd w:id="3"/>
      <w:r>
        <w:rPr>
          <w:rFonts w:hint="eastAsia" w:asciiTheme="majorEastAsia" w:hAnsiTheme="majorEastAsia" w:eastAsiaTheme="majorEastAsia" w:cstheme="majorEastAsia"/>
          <w:sz w:val="24"/>
          <w:lang w:val="en-US" w:eastAsia="zh-CN"/>
        </w:rPr>
        <w:t>中标后20日历天内完成供货、安装调试完毕并经验收合格。</w:t>
      </w:r>
    </w:p>
    <w:p w14:paraId="16891F9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5、是否接受联合体：本项目不接受联合体投标。</w:t>
      </w:r>
    </w:p>
    <w:p w14:paraId="3C6506AB">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sz w:val="24"/>
          <w:lang w:val="en-US" w:eastAsia="zh-CN"/>
        </w:rPr>
        <w:t>6、评标办法：</w:t>
      </w:r>
      <w:r>
        <w:rPr>
          <w:rFonts w:hint="eastAsia" w:asciiTheme="majorEastAsia" w:hAnsiTheme="majorEastAsia" w:eastAsiaTheme="majorEastAsia" w:cstheme="majorEastAsia"/>
          <w:b/>
          <w:bCs/>
          <w:sz w:val="24"/>
          <w:lang w:val="en-US" w:eastAsia="zh-CN"/>
        </w:rPr>
        <w:t>价格单因素，最低价中标。</w:t>
      </w:r>
    </w:p>
    <w:p w14:paraId="21CF7527">
      <w:pPr>
        <w:snapToGrid w:val="0"/>
        <w:spacing w:line="360" w:lineRule="auto"/>
        <w:ind w:firstLine="482"/>
        <w:rPr>
          <w:rFonts w:hint="eastAsia" w:asciiTheme="majorEastAsia" w:hAnsiTheme="majorEastAsia" w:eastAsiaTheme="majorEastAsia" w:cstheme="majorEastAsia"/>
          <w:b/>
          <w:sz w:val="24"/>
          <w:lang w:val="en-US" w:eastAsia="zh-CN"/>
        </w:rPr>
      </w:pPr>
    </w:p>
    <w:p w14:paraId="3AEF7EDB">
      <w:pPr>
        <w:snapToGrid w:val="0"/>
        <w:spacing w:line="360" w:lineRule="auto"/>
        <w:ind w:firstLine="482"/>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二、投标文件组成</w:t>
      </w:r>
    </w:p>
    <w:p w14:paraId="31B2768B">
      <w:pPr>
        <w:snapToGrid w:val="0"/>
        <w:spacing w:line="360" w:lineRule="auto"/>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竞标人</w:t>
      </w:r>
      <w:r>
        <w:rPr>
          <w:rFonts w:hint="eastAsia" w:asciiTheme="majorEastAsia" w:hAnsiTheme="majorEastAsia" w:eastAsiaTheme="majorEastAsia" w:cstheme="majorEastAsia"/>
          <w:sz w:val="24"/>
        </w:rPr>
        <w:t>请于202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29</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lang w:val="en-US" w:eastAsia="zh-CN"/>
        </w:rPr>
        <w:t>下午</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：00之前</w:t>
      </w:r>
      <w:r>
        <w:rPr>
          <w:rFonts w:hint="eastAsia" w:asciiTheme="majorEastAsia" w:hAnsiTheme="majorEastAsia" w:eastAsiaTheme="majorEastAsia" w:cstheme="majorEastAsia"/>
          <w:sz w:val="24"/>
          <w:lang w:val="en-US" w:eastAsia="zh-CN"/>
        </w:rPr>
        <w:t>将</w:t>
      </w:r>
      <w:r>
        <w:rPr>
          <w:rFonts w:hint="eastAsia" w:asciiTheme="majorEastAsia" w:hAnsiTheme="majorEastAsia" w:eastAsiaTheme="majorEastAsia" w:cstheme="majorEastAsia"/>
          <w:sz w:val="24"/>
        </w:rPr>
        <w:t>盖有单位公章的报价函</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营业执照复印件、法人身份证复印件、授权委托书、经销商原厂授权书等相关材料密封后交给</w:t>
      </w:r>
      <w:r>
        <w:rPr>
          <w:rFonts w:hint="eastAsia" w:asciiTheme="majorEastAsia" w:hAnsiTheme="majorEastAsia" w:eastAsiaTheme="majorEastAsia" w:cstheme="majorEastAsia"/>
          <w:sz w:val="24"/>
        </w:rPr>
        <w:t>招标人</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可邮寄）</w:t>
      </w:r>
      <w:r>
        <w:rPr>
          <w:rFonts w:hint="eastAsia" w:asciiTheme="majorEastAsia" w:hAnsiTheme="majorEastAsia" w:eastAsiaTheme="majorEastAsia" w:cstheme="majorEastAsia"/>
          <w:sz w:val="24"/>
        </w:rPr>
        <w:t>，逾期不予受理。</w:t>
      </w:r>
      <w:r>
        <w:rPr>
          <w:rFonts w:hint="eastAsia" w:asciiTheme="majorEastAsia" w:hAnsiTheme="majorEastAsia" w:eastAsiaTheme="majorEastAsia" w:cstheme="majorEastAsia"/>
          <w:sz w:val="24"/>
          <w:lang w:val="en-US" w:eastAsia="zh-CN"/>
        </w:rPr>
        <w:t>投标文件一式两份，一正一副。</w:t>
      </w:r>
    </w:p>
    <w:p w14:paraId="10F5AF37">
      <w:pPr>
        <w:snapToGrid w:val="0"/>
        <w:spacing w:line="360" w:lineRule="auto"/>
        <w:ind w:firstLine="241" w:firstLineChars="100"/>
        <w:rPr>
          <w:rFonts w:hint="eastAsia" w:asciiTheme="majorEastAsia" w:hAnsiTheme="majorEastAsia" w:eastAsiaTheme="majorEastAsia" w:cstheme="majorEastAsia"/>
          <w:b/>
          <w:sz w:val="24"/>
          <w:lang w:val="en-US" w:eastAsia="zh-CN"/>
        </w:rPr>
      </w:pPr>
    </w:p>
    <w:p w14:paraId="633E42C6">
      <w:pPr>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开标时间和地点</w:t>
      </w:r>
    </w:p>
    <w:p w14:paraId="026E815C">
      <w:pPr>
        <w:snapToGrid w:val="0"/>
        <w:spacing w:line="360" w:lineRule="auto"/>
        <w:ind w:firstLine="482"/>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时间：202</w:t>
      </w:r>
      <w:r>
        <w:rPr>
          <w:rFonts w:hint="eastAsia" w:asciiTheme="majorEastAsia" w:hAnsiTheme="majorEastAsia" w:eastAsiaTheme="majorEastAsia" w:cstheme="majorEastAsia"/>
          <w:b w:val="0"/>
          <w:bCs w:val="0"/>
          <w:sz w:val="24"/>
          <w:lang w:val="en-US" w:eastAsia="zh-CN"/>
        </w:rPr>
        <w:t>5</w:t>
      </w:r>
      <w:r>
        <w:rPr>
          <w:rFonts w:hint="eastAsia" w:asciiTheme="majorEastAsia" w:hAnsiTheme="majorEastAsia" w:eastAsiaTheme="majorEastAsia" w:cstheme="majorEastAsia"/>
          <w:b w:val="0"/>
          <w:bCs w:val="0"/>
          <w:sz w:val="24"/>
        </w:rPr>
        <w:t>年</w:t>
      </w:r>
      <w:r>
        <w:rPr>
          <w:rFonts w:hint="eastAsia" w:asciiTheme="majorEastAsia" w:hAnsiTheme="majorEastAsia" w:eastAsiaTheme="majorEastAsia" w:cstheme="majorEastAsia"/>
          <w:b w:val="0"/>
          <w:bCs w:val="0"/>
          <w:sz w:val="24"/>
          <w:lang w:val="en-US" w:eastAsia="zh-CN"/>
        </w:rPr>
        <w:t>8</w:t>
      </w:r>
      <w:r>
        <w:rPr>
          <w:rFonts w:hint="eastAsia" w:asciiTheme="majorEastAsia" w:hAnsiTheme="majorEastAsia" w:eastAsiaTheme="majorEastAsia" w:cstheme="majorEastAsia"/>
          <w:b w:val="0"/>
          <w:bCs w:val="0"/>
          <w:sz w:val="24"/>
        </w:rPr>
        <w:t>月</w:t>
      </w:r>
      <w:r>
        <w:rPr>
          <w:rFonts w:hint="eastAsia" w:asciiTheme="majorEastAsia" w:hAnsiTheme="majorEastAsia" w:eastAsiaTheme="majorEastAsia" w:cstheme="majorEastAsia"/>
          <w:b w:val="0"/>
          <w:bCs w:val="0"/>
          <w:sz w:val="24"/>
          <w:lang w:val="en-US" w:eastAsia="zh-CN"/>
        </w:rPr>
        <w:t>29</w:t>
      </w:r>
      <w:bookmarkStart w:id="19" w:name="_GoBack"/>
      <w:bookmarkEnd w:id="19"/>
      <w:r>
        <w:rPr>
          <w:rFonts w:hint="eastAsia" w:asciiTheme="majorEastAsia" w:hAnsiTheme="majorEastAsia" w:eastAsiaTheme="majorEastAsia" w:cstheme="majorEastAsia"/>
          <w:b w:val="0"/>
          <w:bCs w:val="0"/>
          <w:sz w:val="24"/>
        </w:rPr>
        <w:t>日</w:t>
      </w:r>
      <w:r>
        <w:rPr>
          <w:rFonts w:hint="eastAsia" w:asciiTheme="majorEastAsia" w:hAnsiTheme="majorEastAsia" w:eastAsiaTheme="majorEastAsia" w:cstheme="majorEastAsia"/>
          <w:b w:val="0"/>
          <w:bCs w:val="0"/>
          <w:sz w:val="24"/>
          <w:lang w:val="en-US" w:eastAsia="zh-CN"/>
        </w:rPr>
        <w:t>15</w:t>
      </w:r>
      <w:r>
        <w:rPr>
          <w:rFonts w:hint="eastAsia" w:asciiTheme="majorEastAsia" w:hAnsiTheme="majorEastAsia" w:eastAsiaTheme="majorEastAsia" w:cstheme="majorEastAsia"/>
          <w:b w:val="0"/>
          <w:bCs w:val="0"/>
          <w:sz w:val="24"/>
        </w:rPr>
        <w:t>点</w:t>
      </w:r>
      <w:r>
        <w:rPr>
          <w:rFonts w:hint="eastAsia" w:asciiTheme="majorEastAsia" w:hAnsiTheme="majorEastAsia" w:eastAsiaTheme="majorEastAsia" w:cstheme="majorEastAsia"/>
          <w:b w:val="0"/>
          <w:bCs w:val="0"/>
          <w:sz w:val="24"/>
          <w:lang w:val="en-US" w:eastAsia="zh-CN"/>
        </w:rPr>
        <w:t>0</w:t>
      </w:r>
      <w:r>
        <w:rPr>
          <w:rFonts w:hint="eastAsia" w:asciiTheme="majorEastAsia" w:hAnsiTheme="majorEastAsia" w:eastAsiaTheme="majorEastAsia" w:cstheme="majorEastAsia"/>
          <w:b w:val="0"/>
          <w:bCs w:val="0"/>
          <w:sz w:val="24"/>
        </w:rPr>
        <w:t>0分。</w:t>
      </w:r>
    </w:p>
    <w:p w14:paraId="359AD306">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rPr>
        <w:t>地点：江苏省南通市</w:t>
      </w:r>
      <w:r>
        <w:rPr>
          <w:rFonts w:hint="eastAsia" w:asciiTheme="majorEastAsia" w:hAnsiTheme="majorEastAsia" w:eastAsiaTheme="majorEastAsia" w:cstheme="majorEastAsia"/>
          <w:b w:val="0"/>
          <w:bCs w:val="0"/>
          <w:sz w:val="24"/>
          <w:lang w:val="en-US" w:eastAsia="zh-CN"/>
        </w:rPr>
        <w:t>崇川区崇川路85号金石国际大酒店采购部</w:t>
      </w:r>
    </w:p>
    <w:p w14:paraId="72A4C9AD">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p>
    <w:p w14:paraId="58C8A365">
      <w:pPr>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四</w:t>
      </w:r>
      <w:r>
        <w:rPr>
          <w:rFonts w:hint="eastAsia" w:asciiTheme="majorEastAsia" w:hAnsiTheme="majorEastAsia" w:eastAsiaTheme="majorEastAsia" w:cstheme="majorEastAsia"/>
          <w:b/>
          <w:sz w:val="24"/>
        </w:rPr>
        <w:t>、公告期限</w:t>
      </w:r>
    </w:p>
    <w:p w14:paraId="20435F4A">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自本公告发布之日起</w:t>
      </w:r>
      <w:r>
        <w:rPr>
          <w:rFonts w:hint="eastAsia" w:asciiTheme="majorEastAsia" w:hAnsiTheme="majorEastAsia" w:eastAsiaTheme="majorEastAsia" w:cstheme="majorEastAsia"/>
          <w:b/>
          <w:bCs/>
          <w:sz w:val="24"/>
          <w:lang w:val="en-US" w:eastAsia="zh-CN"/>
        </w:rPr>
        <w:t>10</w:t>
      </w:r>
      <w:r>
        <w:rPr>
          <w:rFonts w:hint="eastAsia" w:asciiTheme="majorEastAsia" w:hAnsiTheme="majorEastAsia" w:eastAsiaTheme="majorEastAsia" w:cstheme="majorEastAsia"/>
          <w:sz w:val="24"/>
        </w:rPr>
        <w:t>个工作日。</w:t>
      </w:r>
    </w:p>
    <w:p w14:paraId="382BCB6F">
      <w:pPr>
        <w:snapToGrid w:val="0"/>
        <w:spacing w:line="360" w:lineRule="auto"/>
        <w:ind w:firstLine="480"/>
        <w:rPr>
          <w:rFonts w:hint="eastAsia" w:asciiTheme="majorEastAsia" w:hAnsiTheme="majorEastAsia" w:eastAsiaTheme="majorEastAsia" w:cstheme="majorEastAsia"/>
          <w:b/>
          <w:sz w:val="24"/>
          <w:lang w:val="en-US" w:eastAsia="zh-CN"/>
        </w:rPr>
      </w:pPr>
    </w:p>
    <w:p w14:paraId="3E6897B8">
      <w:pPr>
        <w:snapToGrid w:val="0"/>
        <w:spacing w:line="360" w:lineRule="auto"/>
        <w:ind w:firstLine="48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五</w:t>
      </w:r>
      <w:r>
        <w:rPr>
          <w:rFonts w:hint="eastAsia" w:asciiTheme="majorEastAsia" w:hAnsiTheme="majorEastAsia" w:eastAsiaTheme="majorEastAsia" w:cstheme="majorEastAsia"/>
          <w:b/>
          <w:sz w:val="24"/>
        </w:rPr>
        <w:t>、对本次招标提出询问，请按以下方式联系。</w:t>
      </w:r>
    </w:p>
    <w:p w14:paraId="1DA81059">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1.采购人信息：</w:t>
      </w:r>
    </w:p>
    <w:p w14:paraId="5C4BADED">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rPr>
        <w:t>名    称：</w:t>
      </w:r>
      <w:bookmarkStart w:id="4" w:name="OLE_LINK32"/>
      <w:bookmarkStart w:id="5" w:name="OLE_LINK31"/>
      <w:r>
        <w:rPr>
          <w:rFonts w:hint="eastAsia" w:asciiTheme="majorEastAsia" w:hAnsiTheme="majorEastAsia" w:eastAsiaTheme="majorEastAsia" w:cstheme="majorEastAsia"/>
          <w:kern w:val="0"/>
          <w:sz w:val="24"/>
          <w:lang w:val="en-US" w:eastAsia="zh-CN"/>
        </w:rPr>
        <w:t>南通通湾旅游开发有限公司金石国际大酒店。</w:t>
      </w:r>
    </w:p>
    <w:p w14:paraId="60392E22">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联 系 人：</w:t>
      </w:r>
      <w:r>
        <w:rPr>
          <w:rFonts w:hint="eastAsia" w:asciiTheme="majorEastAsia" w:hAnsiTheme="majorEastAsia" w:eastAsiaTheme="majorEastAsia" w:cstheme="majorEastAsia"/>
          <w:kern w:val="0"/>
          <w:sz w:val="24"/>
          <w:lang w:val="en-US" w:eastAsia="zh-CN"/>
        </w:rPr>
        <w:t>郭鑫</w:t>
      </w:r>
      <w:r>
        <w:rPr>
          <w:rFonts w:hint="eastAsia" w:asciiTheme="majorEastAsia" w:hAnsiTheme="majorEastAsia" w:eastAsiaTheme="majorEastAsia" w:cstheme="majorEastAsia"/>
          <w:kern w:val="0"/>
          <w:sz w:val="24"/>
        </w:rPr>
        <w:t xml:space="preserve">       </w:t>
      </w:r>
    </w:p>
    <w:p w14:paraId="6049FD3B">
      <w:pPr>
        <w:autoSpaceDE w:val="0"/>
        <w:autoSpaceDN w:val="0"/>
        <w:adjustRightInd w:val="0"/>
        <w:snapToGrid w:val="0"/>
        <w:spacing w:line="360" w:lineRule="auto"/>
        <w:ind w:firstLine="48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kern w:val="0"/>
          <w:sz w:val="24"/>
        </w:rPr>
        <w:t>联系电话：</w:t>
      </w:r>
      <w:r>
        <w:rPr>
          <w:rFonts w:hint="eastAsia" w:asciiTheme="majorEastAsia" w:hAnsiTheme="majorEastAsia" w:eastAsiaTheme="majorEastAsia" w:cstheme="majorEastAsia"/>
          <w:kern w:val="0"/>
          <w:sz w:val="24"/>
          <w:lang w:val="en-US" w:eastAsia="zh-CN"/>
        </w:rPr>
        <w:t>18006299119</w:t>
      </w:r>
    </w:p>
    <w:bookmarkEnd w:id="4"/>
    <w:bookmarkEnd w:id="5"/>
    <w:p w14:paraId="66848BD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0478A24">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default" w:asciiTheme="majorEastAsia" w:hAnsiTheme="majorEastAsia" w:eastAsiaTheme="majorEastAsia" w:cstheme="majorEastAsia"/>
          <w:b w:val="0"/>
          <w:bCs w:val="0"/>
          <w:sz w:val="24"/>
          <w:lang w:val="en-US" w:eastAsia="zh-CN"/>
        </w:rPr>
      </w:pPr>
    </w:p>
    <w:p w14:paraId="424A506C">
      <w:pPr>
        <w:tabs>
          <w:tab w:val="left" w:pos="7740"/>
        </w:tabs>
        <w:spacing w:line="500" w:lineRule="exact"/>
        <w:ind w:firstLine="640"/>
        <w:jc w:val="center"/>
        <w:rPr>
          <w:b/>
          <w:bCs w:val="0"/>
          <w:spacing w:val="2"/>
          <w:sz w:val="36"/>
          <w:szCs w:val="36"/>
        </w:rPr>
      </w:pPr>
      <w:r>
        <w:rPr>
          <w:b/>
          <w:bCs w:val="0"/>
          <w:sz w:val="36"/>
          <w:szCs w:val="36"/>
        </w:rPr>
        <w:t>第二部分  项目需求说明</w:t>
      </w:r>
    </w:p>
    <w:p w14:paraId="22EF8A6B">
      <w:pPr>
        <w:numPr>
          <w:ilvl w:val="0"/>
          <w:numId w:val="1"/>
        </w:numPr>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项目需求清单：</w:t>
      </w:r>
    </w:p>
    <w:tbl>
      <w:tblPr>
        <w:tblStyle w:val="6"/>
        <w:tblpPr w:leftFromText="180" w:rightFromText="180" w:vertAnchor="text" w:horzAnchor="page" w:tblpXSpec="center" w:tblpY="794"/>
        <w:tblOverlap w:val="never"/>
        <w:tblW w:w="1013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7"/>
        <w:gridCol w:w="732"/>
        <w:gridCol w:w="4861"/>
        <w:gridCol w:w="600"/>
        <w:gridCol w:w="787"/>
        <w:gridCol w:w="2188"/>
      </w:tblGrid>
      <w:tr w14:paraId="75BCF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jc w:val="center"/>
        </w:trPr>
        <w:tc>
          <w:tcPr>
            <w:tcW w:w="967" w:type="dxa"/>
            <w:vAlign w:val="center"/>
          </w:tcPr>
          <w:p w14:paraId="20405B72">
            <w:pPr>
              <w:ind w:firstLine="200" w:firstLineChars="100"/>
              <w:jc w:val="both"/>
              <w:rPr>
                <w:rFonts w:hint="default"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设备</w:t>
            </w:r>
          </w:p>
        </w:tc>
        <w:tc>
          <w:tcPr>
            <w:tcW w:w="5593" w:type="dxa"/>
            <w:gridSpan w:val="2"/>
            <w:vAlign w:val="center"/>
          </w:tcPr>
          <w:p w14:paraId="48BFDB62">
            <w:pPr>
              <w:ind w:firstLine="482"/>
              <w:jc w:val="center"/>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技术参数</w:t>
            </w:r>
          </w:p>
        </w:tc>
        <w:tc>
          <w:tcPr>
            <w:tcW w:w="600" w:type="dxa"/>
            <w:vAlign w:val="center"/>
          </w:tcPr>
          <w:p w14:paraId="66D05BAD">
            <w:pPr>
              <w:jc w:val="both"/>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单位</w:t>
            </w:r>
          </w:p>
        </w:tc>
        <w:tc>
          <w:tcPr>
            <w:tcW w:w="787" w:type="dxa"/>
            <w:vAlign w:val="center"/>
          </w:tcPr>
          <w:p w14:paraId="3C3D4B89">
            <w:pPr>
              <w:ind w:firstLine="200" w:firstLineChars="100"/>
              <w:jc w:val="both"/>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数量</w:t>
            </w:r>
          </w:p>
        </w:tc>
        <w:tc>
          <w:tcPr>
            <w:tcW w:w="2188" w:type="dxa"/>
            <w:vAlign w:val="center"/>
          </w:tcPr>
          <w:p w14:paraId="50D98D6F">
            <w:pPr>
              <w:ind w:firstLine="856" w:firstLineChars="428"/>
              <w:jc w:val="both"/>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样式</w:t>
            </w:r>
          </w:p>
        </w:tc>
      </w:tr>
      <w:tr w14:paraId="5AB57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1" w:hRule="atLeast"/>
          <w:jc w:val="center"/>
        </w:trPr>
        <w:tc>
          <w:tcPr>
            <w:tcW w:w="967" w:type="dxa"/>
            <w:vAlign w:val="center"/>
          </w:tcPr>
          <w:p w14:paraId="13B6BE4C">
            <w:pPr>
              <w:ind w:firstLine="482"/>
              <w:jc w:val="center"/>
              <w:rPr>
                <w:rFonts w:hint="eastAsia" w:asciiTheme="majorEastAsia" w:hAnsiTheme="majorEastAsia" w:eastAsiaTheme="majorEastAsia" w:cstheme="majorEastAsia"/>
                <w:b w:val="0"/>
                <w:bCs w:val="0"/>
                <w:sz w:val="20"/>
                <w:szCs w:val="20"/>
              </w:rPr>
            </w:pPr>
          </w:p>
          <w:p w14:paraId="78CA1C14">
            <w:pPr>
              <w:ind w:firstLine="482"/>
              <w:jc w:val="center"/>
              <w:rPr>
                <w:rFonts w:hint="eastAsia" w:asciiTheme="majorEastAsia" w:hAnsiTheme="majorEastAsia" w:eastAsiaTheme="majorEastAsia" w:cstheme="majorEastAsia"/>
                <w:b w:val="0"/>
                <w:bCs w:val="0"/>
                <w:sz w:val="20"/>
                <w:szCs w:val="20"/>
              </w:rPr>
            </w:pPr>
          </w:p>
          <w:p w14:paraId="72540DD9">
            <w:pPr>
              <w:ind w:firstLine="482"/>
              <w:jc w:val="center"/>
              <w:rPr>
                <w:rFonts w:hint="eastAsia" w:asciiTheme="majorEastAsia" w:hAnsiTheme="majorEastAsia" w:eastAsiaTheme="majorEastAsia" w:cstheme="majorEastAsia"/>
                <w:b w:val="0"/>
                <w:bCs w:val="0"/>
                <w:sz w:val="20"/>
                <w:szCs w:val="20"/>
              </w:rPr>
            </w:pPr>
          </w:p>
          <w:p w14:paraId="2604CD18">
            <w:pPr>
              <w:jc w:val="center"/>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吸顶扬声器</w:t>
            </w:r>
          </w:p>
        </w:tc>
        <w:tc>
          <w:tcPr>
            <w:tcW w:w="732" w:type="dxa"/>
            <w:vAlign w:val="center"/>
          </w:tcPr>
          <w:p w14:paraId="58024B4C">
            <w:pPr>
              <w:ind w:firstLine="482"/>
              <w:jc w:val="center"/>
              <w:rPr>
                <w:rFonts w:hint="eastAsia" w:asciiTheme="majorEastAsia" w:hAnsiTheme="majorEastAsia" w:eastAsiaTheme="majorEastAsia" w:cstheme="majorEastAsia"/>
                <w:b w:val="0"/>
                <w:bCs w:val="0"/>
                <w:sz w:val="20"/>
                <w:szCs w:val="20"/>
              </w:rPr>
            </w:pPr>
          </w:p>
          <w:p w14:paraId="2D59821C">
            <w:pPr>
              <w:ind w:firstLine="482"/>
              <w:jc w:val="center"/>
              <w:rPr>
                <w:rFonts w:hint="eastAsia" w:asciiTheme="majorEastAsia" w:hAnsiTheme="majorEastAsia" w:eastAsiaTheme="majorEastAsia" w:cstheme="majorEastAsia"/>
                <w:b w:val="0"/>
                <w:bCs w:val="0"/>
                <w:sz w:val="20"/>
                <w:szCs w:val="20"/>
              </w:rPr>
            </w:pPr>
          </w:p>
          <w:p w14:paraId="018F39E5">
            <w:pPr>
              <w:ind w:firstLine="482"/>
              <w:jc w:val="center"/>
              <w:rPr>
                <w:rFonts w:hint="eastAsia" w:asciiTheme="majorEastAsia" w:hAnsiTheme="majorEastAsia" w:eastAsiaTheme="majorEastAsia" w:cstheme="majorEastAsia"/>
                <w:b w:val="0"/>
                <w:bCs w:val="0"/>
                <w:sz w:val="20"/>
                <w:szCs w:val="20"/>
              </w:rPr>
            </w:pPr>
          </w:p>
          <w:p w14:paraId="508789C3">
            <w:pPr>
              <w:jc w:val="center"/>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JBL</w:t>
            </w:r>
          </w:p>
        </w:tc>
        <w:tc>
          <w:tcPr>
            <w:tcW w:w="4861" w:type="dxa"/>
            <w:vAlign w:val="center"/>
          </w:tcPr>
          <w:p w14:paraId="1FC188D4">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墙内安装扬声器； 单元组成：6.5寸低音扬声器，1寸高音扬声器</w:t>
            </w:r>
          </w:p>
          <w:p w14:paraId="0BD500D2">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频率范围：38Hz-20kHz；</w:t>
            </w:r>
          </w:p>
          <w:p w14:paraId="72B72729">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连续节目功率：100W；连续粉红噪声功率：50W；</w:t>
            </w:r>
          </w:p>
          <w:p w14:paraId="603A00DE">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接线端子：欧式螺柱端子</w:t>
            </w:r>
          </w:p>
          <w:p w14:paraId="1C39BA98">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灵敏度：88dB；阻抗：8Ω；</w:t>
            </w:r>
          </w:p>
          <w:p w14:paraId="2B147630">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体积(高 x 宽 x 深)： 280 x 215 x 105 mm；</w:t>
            </w:r>
          </w:p>
          <w:p w14:paraId="76446D50">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净重 2.1kg</w:t>
            </w:r>
          </w:p>
        </w:tc>
        <w:tc>
          <w:tcPr>
            <w:tcW w:w="600" w:type="dxa"/>
            <w:vAlign w:val="center"/>
          </w:tcPr>
          <w:p w14:paraId="20625513">
            <w:pPr>
              <w:ind w:firstLine="482"/>
              <w:jc w:val="center"/>
              <w:rPr>
                <w:rFonts w:hint="eastAsia" w:asciiTheme="majorEastAsia" w:hAnsiTheme="majorEastAsia" w:eastAsiaTheme="majorEastAsia" w:cstheme="majorEastAsia"/>
                <w:b w:val="0"/>
                <w:bCs w:val="0"/>
                <w:sz w:val="20"/>
                <w:szCs w:val="20"/>
              </w:rPr>
            </w:pPr>
          </w:p>
          <w:p w14:paraId="622E4E40">
            <w:pPr>
              <w:ind w:firstLine="482"/>
              <w:jc w:val="center"/>
              <w:rPr>
                <w:rFonts w:hint="eastAsia" w:asciiTheme="majorEastAsia" w:hAnsiTheme="majorEastAsia" w:eastAsiaTheme="majorEastAsia" w:cstheme="majorEastAsia"/>
                <w:b w:val="0"/>
                <w:bCs w:val="0"/>
                <w:sz w:val="20"/>
                <w:szCs w:val="20"/>
              </w:rPr>
            </w:pPr>
          </w:p>
          <w:p w14:paraId="3AEE7428">
            <w:pPr>
              <w:jc w:val="center"/>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只</w:t>
            </w:r>
          </w:p>
        </w:tc>
        <w:tc>
          <w:tcPr>
            <w:tcW w:w="787" w:type="dxa"/>
            <w:vAlign w:val="center"/>
          </w:tcPr>
          <w:p w14:paraId="256CA1FC">
            <w:pPr>
              <w:ind w:firstLine="482"/>
              <w:jc w:val="center"/>
              <w:rPr>
                <w:rFonts w:hint="eastAsia" w:asciiTheme="majorEastAsia" w:hAnsiTheme="majorEastAsia" w:eastAsiaTheme="majorEastAsia" w:cstheme="majorEastAsia"/>
                <w:b w:val="0"/>
                <w:bCs w:val="0"/>
                <w:sz w:val="20"/>
                <w:szCs w:val="20"/>
              </w:rPr>
            </w:pPr>
          </w:p>
          <w:p w14:paraId="3E2A074C">
            <w:pPr>
              <w:ind w:firstLine="482"/>
              <w:jc w:val="center"/>
              <w:rPr>
                <w:rFonts w:hint="eastAsia" w:asciiTheme="majorEastAsia" w:hAnsiTheme="majorEastAsia" w:eastAsiaTheme="majorEastAsia" w:cstheme="majorEastAsia"/>
                <w:b w:val="0"/>
                <w:bCs w:val="0"/>
                <w:sz w:val="20"/>
                <w:szCs w:val="20"/>
              </w:rPr>
            </w:pPr>
          </w:p>
          <w:p w14:paraId="03CA91A7">
            <w:pPr>
              <w:jc w:val="center"/>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6</w:t>
            </w:r>
          </w:p>
        </w:tc>
        <w:tc>
          <w:tcPr>
            <w:tcW w:w="2188" w:type="dxa"/>
            <w:vAlign w:val="center"/>
          </w:tcPr>
          <w:p w14:paraId="74AC0927">
            <w:pPr>
              <w:ind w:firstLine="482"/>
              <w:jc w:val="center"/>
              <w:rPr>
                <w:rFonts w:hint="eastAsia" w:asciiTheme="majorEastAsia" w:hAnsiTheme="majorEastAsia" w:eastAsiaTheme="majorEastAsia" w:cstheme="majorEastAsia"/>
                <w:b w:val="0"/>
                <w:bCs w:val="0"/>
                <w:sz w:val="20"/>
                <w:szCs w:val="20"/>
              </w:rPr>
            </w:pPr>
          </w:p>
          <w:p w14:paraId="223A6FF4">
            <w:pPr>
              <w:ind w:firstLine="482"/>
              <w:jc w:val="center"/>
              <w:rPr>
                <w:rFonts w:hint="eastAsia" w:asciiTheme="majorEastAsia" w:hAnsiTheme="majorEastAsia" w:eastAsiaTheme="majorEastAsia" w:cstheme="majorEastAsia"/>
                <w:b w:val="0"/>
                <w:bCs w:val="0"/>
                <w:sz w:val="20"/>
                <w:szCs w:val="20"/>
              </w:rPr>
            </w:pPr>
          </w:p>
          <w:p w14:paraId="0B7959F5">
            <w:pPr>
              <w:ind w:firstLine="482"/>
              <w:jc w:val="center"/>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drawing>
                <wp:inline distT="0" distB="0" distL="0" distR="0">
                  <wp:extent cx="618490" cy="1078865"/>
                  <wp:effectExtent l="0" t="0" r="10160" b="698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618880" cy="1079182"/>
                          </a:xfrm>
                          <a:prstGeom prst="rect">
                            <a:avLst/>
                          </a:prstGeom>
                        </pic:spPr>
                      </pic:pic>
                    </a:graphicData>
                  </a:graphic>
                </wp:inline>
              </w:drawing>
            </w:r>
          </w:p>
          <w:p w14:paraId="5746A646">
            <w:pPr>
              <w:ind w:firstLine="482"/>
              <w:jc w:val="center"/>
              <w:rPr>
                <w:rFonts w:hint="eastAsia" w:asciiTheme="majorEastAsia" w:hAnsiTheme="majorEastAsia" w:eastAsiaTheme="majorEastAsia" w:cstheme="majorEastAsia"/>
                <w:b w:val="0"/>
                <w:bCs w:val="0"/>
                <w:sz w:val="20"/>
                <w:szCs w:val="20"/>
              </w:rPr>
            </w:pPr>
          </w:p>
          <w:p w14:paraId="63D7CD0E">
            <w:pPr>
              <w:ind w:firstLine="482"/>
              <w:jc w:val="center"/>
              <w:rPr>
                <w:rFonts w:hint="eastAsia" w:asciiTheme="majorEastAsia" w:hAnsiTheme="majorEastAsia" w:eastAsiaTheme="majorEastAsia" w:cstheme="majorEastAsia"/>
                <w:b w:val="0"/>
                <w:bCs w:val="0"/>
                <w:sz w:val="20"/>
                <w:szCs w:val="20"/>
              </w:rPr>
            </w:pPr>
          </w:p>
          <w:p w14:paraId="109B0604">
            <w:pPr>
              <w:ind w:firstLine="482"/>
              <w:jc w:val="center"/>
              <w:rPr>
                <w:rFonts w:hint="eastAsia" w:asciiTheme="majorEastAsia" w:hAnsiTheme="majorEastAsia" w:eastAsiaTheme="majorEastAsia" w:cstheme="majorEastAsia"/>
                <w:b w:val="0"/>
                <w:bCs w:val="0"/>
                <w:sz w:val="20"/>
                <w:szCs w:val="20"/>
              </w:rPr>
            </w:pPr>
          </w:p>
          <w:p w14:paraId="17055F05">
            <w:pPr>
              <w:ind w:firstLine="482"/>
              <w:jc w:val="center"/>
              <w:rPr>
                <w:rFonts w:hint="eastAsia" w:asciiTheme="majorEastAsia" w:hAnsiTheme="majorEastAsia" w:eastAsiaTheme="majorEastAsia" w:cstheme="majorEastAsia"/>
                <w:b w:val="0"/>
                <w:bCs w:val="0"/>
                <w:sz w:val="20"/>
                <w:szCs w:val="20"/>
              </w:rPr>
            </w:pPr>
          </w:p>
        </w:tc>
      </w:tr>
      <w:tr w14:paraId="7E945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967" w:type="dxa"/>
            <w:vAlign w:val="center"/>
          </w:tcPr>
          <w:p w14:paraId="27CB9677">
            <w:pPr>
              <w:jc w:val="both"/>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无线会议鹅颈话筒</w:t>
            </w:r>
          </w:p>
          <w:p w14:paraId="0197C35E">
            <w:pPr>
              <w:jc w:val="both"/>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（一拖四）</w:t>
            </w:r>
          </w:p>
        </w:tc>
        <w:tc>
          <w:tcPr>
            <w:tcW w:w="732" w:type="dxa"/>
            <w:vAlign w:val="center"/>
          </w:tcPr>
          <w:p w14:paraId="7F8B0352">
            <w:pPr>
              <w:jc w:val="both"/>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安度</w:t>
            </w:r>
          </w:p>
        </w:tc>
        <w:tc>
          <w:tcPr>
            <w:tcW w:w="4861" w:type="dxa"/>
            <w:vAlign w:val="center"/>
          </w:tcPr>
          <w:p w14:paraId="6168ED11">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主机技术参数</w:t>
            </w:r>
          </w:p>
          <w:p w14:paraId="5D0B56BA">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频道组数：四通道</w:t>
            </w:r>
          </w:p>
          <w:p w14:paraId="0A1FA164">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面板显示： 液晶显示屏AF/RF信号强度，工作频率及发射器的电池容量。</w:t>
            </w:r>
          </w:p>
          <w:p w14:paraId="7EE8DA6D">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震荡模式： 数字频率合成</w:t>
            </w:r>
          </w:p>
          <w:p w14:paraId="0B67EAAB">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射频稳定度： ±0.005%（10～50℃）</w:t>
            </w:r>
          </w:p>
          <w:p w14:paraId="318939B9">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载波频段 ：UHF频段(640.125MHz～690.000MHz)频带宽度： 50MHz</w:t>
            </w:r>
          </w:p>
          <w:p w14:paraId="0B44F3A3">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频率间隔 ：125KHz</w:t>
            </w:r>
          </w:p>
          <w:p w14:paraId="38C0CCE7">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可切换频率数 ：50个/每通道操作方式： 手动调整</w:t>
            </w:r>
          </w:p>
          <w:p w14:paraId="135ECF7A">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接收方式 ：真分集式（True Diversity）灵敏度： -108dBm （12dB S/N)</w:t>
            </w:r>
          </w:p>
          <w:p w14:paraId="4B636071">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最大偏移度 ：±100KHz</w:t>
            </w:r>
          </w:p>
          <w:p w14:paraId="191636FF">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综合S/N比： ±105dB（1KHz-A）综合失真度： ＜0.5%@1KHz</w:t>
            </w:r>
          </w:p>
          <w:p w14:paraId="40DFCF73">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综合频率响应： 20Hz～18KHz(±3dB)</w:t>
            </w:r>
          </w:p>
          <w:p w14:paraId="361B7328">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输出插座 ：XLR平衡式插座，6.3φ 非平衡插座音量输出调整：输出电平可随意调整</w:t>
            </w:r>
          </w:p>
          <w:p w14:paraId="4014FE67">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静音控制模式 ：数字导频</w:t>
            </w:r>
          </w:p>
          <w:p w14:paraId="0D3F6A8E">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无阻接收距离 ：无障碍阻隔接收距离约40-50米 DC电源供应 ： 500mA 12V</w:t>
            </w:r>
          </w:p>
          <w:p w14:paraId="43DFA45A">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尺寸：425mm×160mm×44 mm</w:t>
            </w:r>
          </w:p>
          <w:p w14:paraId="0FE5ABE2">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话筒技术参数</w:t>
            </w:r>
          </w:p>
          <w:p w14:paraId="5E27417D">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振荡模式：数字频率合成</w:t>
            </w:r>
          </w:p>
          <w:p w14:paraId="6AD3AE7B">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载波频率：UHF频段(640.125MHz～690.000MHz)频带宽度：50MHz</w:t>
            </w:r>
          </w:p>
          <w:p w14:paraId="2B66A47C">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可调频率：400个 调频方式：红外对频</w:t>
            </w:r>
          </w:p>
          <w:p w14:paraId="78C9C577">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输出功率：+15dBm(max)</w:t>
            </w:r>
          </w:p>
          <w:p w14:paraId="30019BE5">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射频稳定性：±0.005%（-10~50℃）最大偏移：±100KHz</w:t>
            </w:r>
          </w:p>
        </w:tc>
        <w:tc>
          <w:tcPr>
            <w:tcW w:w="600" w:type="dxa"/>
            <w:vAlign w:val="center"/>
          </w:tcPr>
          <w:p w14:paraId="2269D023">
            <w:pPr>
              <w:ind w:firstLine="200" w:firstLineChars="100"/>
              <w:jc w:val="both"/>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套</w:t>
            </w:r>
          </w:p>
        </w:tc>
        <w:tc>
          <w:tcPr>
            <w:tcW w:w="787" w:type="dxa"/>
            <w:vAlign w:val="center"/>
          </w:tcPr>
          <w:p w14:paraId="0CF7623F">
            <w:pPr>
              <w:ind w:firstLine="482"/>
              <w:jc w:val="both"/>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1</w:t>
            </w:r>
          </w:p>
        </w:tc>
        <w:tc>
          <w:tcPr>
            <w:tcW w:w="2188" w:type="dxa"/>
            <w:vAlign w:val="center"/>
          </w:tcPr>
          <w:p w14:paraId="0FF88986">
            <w:pPr>
              <w:ind w:firstLine="482"/>
              <w:jc w:val="center"/>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drawing>
                <wp:anchor distT="0" distB="0" distL="0" distR="0" simplePos="0" relativeHeight="251659264" behindDoc="1" locked="0" layoutInCell="1" allowOverlap="1">
                  <wp:simplePos x="0" y="0"/>
                  <wp:positionH relativeFrom="column">
                    <wp:posOffset>34925</wp:posOffset>
                  </wp:positionH>
                  <wp:positionV relativeFrom="paragraph">
                    <wp:posOffset>992505</wp:posOffset>
                  </wp:positionV>
                  <wp:extent cx="1268095" cy="933450"/>
                  <wp:effectExtent l="0" t="0" r="8255" b="0"/>
                  <wp:wrapTight wrapText="bothSides">
                    <wp:wrapPolygon>
                      <wp:start x="0" y="0"/>
                      <wp:lineTo x="0" y="21159"/>
                      <wp:lineTo x="21416" y="21159"/>
                      <wp:lineTo x="21416" y="0"/>
                      <wp:lineTo x="0" y="0"/>
                    </wp:wrapPolygon>
                  </wp:wrapTight>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268095" cy="933450"/>
                          </a:xfrm>
                          <a:prstGeom prst="rect">
                            <a:avLst/>
                          </a:prstGeom>
                        </pic:spPr>
                      </pic:pic>
                    </a:graphicData>
                  </a:graphic>
                </wp:anchor>
              </w:drawing>
            </w:r>
          </w:p>
        </w:tc>
      </w:tr>
      <w:tr w14:paraId="6108E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58" w:hRule="atLeast"/>
          <w:jc w:val="center"/>
        </w:trPr>
        <w:tc>
          <w:tcPr>
            <w:tcW w:w="967" w:type="dxa"/>
            <w:vAlign w:val="center"/>
          </w:tcPr>
          <w:p w14:paraId="3C622F20">
            <w:pPr>
              <w:jc w:val="both"/>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音频处理器</w:t>
            </w:r>
          </w:p>
        </w:tc>
        <w:tc>
          <w:tcPr>
            <w:tcW w:w="732" w:type="dxa"/>
            <w:vAlign w:val="center"/>
          </w:tcPr>
          <w:p w14:paraId="38283382">
            <w:pPr>
              <w:jc w:val="both"/>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SABINE</w:t>
            </w:r>
          </w:p>
        </w:tc>
        <w:tc>
          <w:tcPr>
            <w:tcW w:w="4861" w:type="dxa"/>
            <w:vAlign w:val="center"/>
          </w:tcPr>
          <w:p w14:paraId="381EF2AA">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二进四出,高性能的24bit模拟/数模转换器，并采用目前运行速度快的32bit浮点运算芯片，提供的音色。</w:t>
            </w:r>
          </w:p>
          <w:p w14:paraId="30B0D974">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3个FAP(Fast Access Preset)快速预设调用键，一键调用迅速切换预设，不管是会议还是演出，应用模式随心切换。每输入输出通道6段参数均衡，每输入输出通道1000ms延时器，分频器，限幅器等处理功能集于一身。绿色版免安装控制软件及免驱动 USB连接，保证用户快速“傻瓜式”连接调试。可设置密码保护设备以免非相关人员误操作。参数均衡器 每输入/输出通道6段参数均衡 延时器 每输入/输出通道1000毫秒 分频器 Butterworth, Bessel, Linkwitz-Riley, 6, 12, 18, 24, 36, 48dB/octave 处理延时 4.5ms 供电电源 50/60Hz，90-240伏交流电 消耗功率 &lt;20瓦 可内置3种调试好模式，实现前面板一键切换，频率响应。15Hz-20kHz，&lt;-0.25dB1。动态范围。</w:t>
            </w:r>
          </w:p>
          <w:p w14:paraId="0FAFF732">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&gt;108dB，22Hz-22kHz不计权总谐波失真+噪声。&lt;0.008%20Hz- 20kHz@+10dBu，平衡输入1。信噪比。&gt;100dB，20Hz-20kHz1。共模抑制比。&gt;60dB1。内部通道串音。&lt;-85dB1。</w:t>
            </w:r>
          </w:p>
          <w:p w14:paraId="1C3EE210">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模/数和数/模转换。24bit PCM1。DSP处理。参数均衡器，每输入/输出通道6段参数均衡；延时器，每输入/输出通道1000毫   秒；分频器，包括Butterworth、Bessel、Linkwitz-Riley类型，斜率6dB/oct至48dB/oct1。外形尺寸。483 x 45 x 240mm</w:t>
            </w:r>
          </w:p>
        </w:tc>
        <w:tc>
          <w:tcPr>
            <w:tcW w:w="600" w:type="dxa"/>
            <w:vAlign w:val="center"/>
          </w:tcPr>
          <w:p w14:paraId="394A435C">
            <w:pPr>
              <w:ind w:firstLine="200" w:firstLineChars="100"/>
              <w:jc w:val="both"/>
              <w:rPr>
                <w:rFonts w:hint="default"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台</w:t>
            </w:r>
          </w:p>
        </w:tc>
        <w:tc>
          <w:tcPr>
            <w:tcW w:w="787" w:type="dxa"/>
            <w:vAlign w:val="center"/>
          </w:tcPr>
          <w:p w14:paraId="1F66279D">
            <w:pPr>
              <w:ind w:firstLine="400" w:firstLineChars="200"/>
              <w:jc w:val="both"/>
              <w:rPr>
                <w:rFonts w:hint="default"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lang w:val="en-US" w:eastAsia="zh-CN"/>
              </w:rPr>
              <w:t>1</w:t>
            </w:r>
          </w:p>
        </w:tc>
        <w:tc>
          <w:tcPr>
            <w:tcW w:w="2188" w:type="dxa"/>
            <w:vAlign w:val="center"/>
          </w:tcPr>
          <w:p w14:paraId="4CEAD4A0">
            <w:pPr>
              <w:ind w:firstLine="482"/>
              <w:jc w:val="center"/>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rPr>
              <w:drawing>
                <wp:anchor distT="0" distB="0" distL="0" distR="0" simplePos="0" relativeHeight="251660288" behindDoc="1" locked="0" layoutInCell="1" allowOverlap="1">
                  <wp:simplePos x="0" y="0"/>
                  <wp:positionH relativeFrom="column">
                    <wp:posOffset>88900</wp:posOffset>
                  </wp:positionH>
                  <wp:positionV relativeFrom="paragraph">
                    <wp:posOffset>1515110</wp:posOffset>
                  </wp:positionV>
                  <wp:extent cx="1404620" cy="626745"/>
                  <wp:effectExtent l="0" t="0" r="5080" b="1905"/>
                  <wp:wrapTight wrapText="bothSides">
                    <wp:wrapPolygon>
                      <wp:start x="0" y="0"/>
                      <wp:lineTo x="0" y="21009"/>
                      <wp:lineTo x="21385" y="21009"/>
                      <wp:lineTo x="21385" y="0"/>
                      <wp:lineTo x="0" y="0"/>
                    </wp:wrapPolygon>
                  </wp:wrapTight>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404620" cy="626745"/>
                          </a:xfrm>
                          <a:prstGeom prst="rect">
                            <a:avLst/>
                          </a:prstGeom>
                        </pic:spPr>
                      </pic:pic>
                    </a:graphicData>
                  </a:graphic>
                </wp:anchor>
              </w:drawing>
            </w:r>
          </w:p>
        </w:tc>
      </w:tr>
      <w:tr w14:paraId="01B1B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967" w:type="dxa"/>
            <w:vAlign w:val="center"/>
          </w:tcPr>
          <w:p w14:paraId="490F6FF7">
            <w:pPr>
              <w:jc w:val="both"/>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线材辅材</w:t>
            </w:r>
          </w:p>
        </w:tc>
        <w:tc>
          <w:tcPr>
            <w:tcW w:w="732" w:type="dxa"/>
            <w:vAlign w:val="center"/>
          </w:tcPr>
          <w:p w14:paraId="19795344">
            <w:pPr>
              <w:ind w:firstLine="200" w:firstLineChars="100"/>
              <w:jc w:val="both"/>
              <w:rPr>
                <w:rFonts w:hint="eastAsia" w:asciiTheme="majorEastAsia" w:hAnsiTheme="majorEastAsia" w:eastAsiaTheme="majorEastAsia" w:cstheme="majorEastAsia"/>
                <w:b w:val="0"/>
                <w:bCs w:val="0"/>
                <w:sz w:val="20"/>
                <w:szCs w:val="20"/>
              </w:rPr>
            </w:pPr>
          </w:p>
        </w:tc>
        <w:tc>
          <w:tcPr>
            <w:tcW w:w="4861" w:type="dxa"/>
            <w:vAlign w:val="center"/>
          </w:tcPr>
          <w:p w14:paraId="28AC576C">
            <w:pPr>
              <w:ind w:firstLine="482"/>
              <w:jc w:val="center"/>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满足工程需求</w:t>
            </w:r>
          </w:p>
        </w:tc>
        <w:tc>
          <w:tcPr>
            <w:tcW w:w="600" w:type="dxa"/>
            <w:vAlign w:val="center"/>
          </w:tcPr>
          <w:p w14:paraId="0203A32B">
            <w:pPr>
              <w:ind w:firstLine="200" w:firstLineChars="100"/>
              <w:jc w:val="both"/>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rPr>
              <w:t>批</w:t>
            </w:r>
          </w:p>
        </w:tc>
        <w:tc>
          <w:tcPr>
            <w:tcW w:w="787" w:type="dxa"/>
            <w:vAlign w:val="center"/>
          </w:tcPr>
          <w:p w14:paraId="2F930683">
            <w:pPr>
              <w:ind w:firstLine="482"/>
              <w:jc w:val="both"/>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rPr>
              <w:t>1</w:t>
            </w:r>
          </w:p>
        </w:tc>
        <w:tc>
          <w:tcPr>
            <w:tcW w:w="2188" w:type="dxa"/>
            <w:vAlign w:val="center"/>
          </w:tcPr>
          <w:p w14:paraId="1E844452">
            <w:pPr>
              <w:ind w:firstLine="482"/>
              <w:jc w:val="center"/>
              <w:rPr>
                <w:rFonts w:hint="eastAsia" w:asciiTheme="majorEastAsia" w:hAnsiTheme="majorEastAsia" w:eastAsiaTheme="majorEastAsia" w:cstheme="majorEastAsia"/>
                <w:b w:val="0"/>
                <w:bCs w:val="0"/>
                <w:sz w:val="20"/>
                <w:szCs w:val="20"/>
                <w:lang w:val="en-US" w:eastAsia="zh-CN"/>
              </w:rPr>
            </w:pPr>
          </w:p>
        </w:tc>
      </w:tr>
      <w:tr w14:paraId="3FBFF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967" w:type="dxa"/>
            <w:vAlign w:val="center"/>
          </w:tcPr>
          <w:p w14:paraId="77DCB1B7">
            <w:pPr>
              <w:jc w:val="both"/>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系统安装调试：</w:t>
            </w:r>
          </w:p>
        </w:tc>
        <w:tc>
          <w:tcPr>
            <w:tcW w:w="732" w:type="dxa"/>
            <w:vAlign w:val="center"/>
          </w:tcPr>
          <w:p w14:paraId="0180F50D">
            <w:pPr>
              <w:ind w:firstLine="200" w:firstLineChars="100"/>
              <w:jc w:val="both"/>
              <w:rPr>
                <w:rFonts w:hint="eastAsia" w:asciiTheme="majorEastAsia" w:hAnsiTheme="majorEastAsia" w:eastAsiaTheme="majorEastAsia" w:cstheme="majorEastAsia"/>
                <w:b w:val="0"/>
                <w:bCs w:val="0"/>
                <w:sz w:val="20"/>
                <w:szCs w:val="20"/>
              </w:rPr>
            </w:pPr>
          </w:p>
        </w:tc>
        <w:tc>
          <w:tcPr>
            <w:tcW w:w="4861" w:type="dxa"/>
            <w:vAlign w:val="center"/>
          </w:tcPr>
          <w:p w14:paraId="0457AE4E">
            <w:pPr>
              <w:ind w:firstLine="482"/>
              <w:jc w:val="center"/>
              <w:rPr>
                <w:rFonts w:hint="eastAsia" w:asciiTheme="majorEastAsia" w:hAnsiTheme="majorEastAsia" w:eastAsiaTheme="majorEastAsia" w:cstheme="majorEastAsia"/>
                <w:b w:val="0"/>
                <w:bCs w:val="0"/>
                <w:sz w:val="20"/>
                <w:szCs w:val="20"/>
              </w:rPr>
            </w:pPr>
            <w:r>
              <w:rPr>
                <w:rFonts w:hint="eastAsia" w:asciiTheme="majorEastAsia" w:hAnsiTheme="majorEastAsia" w:eastAsiaTheme="majorEastAsia" w:cstheme="majorEastAsia"/>
                <w:b w:val="0"/>
                <w:bCs w:val="0"/>
                <w:sz w:val="20"/>
                <w:szCs w:val="20"/>
              </w:rPr>
              <w:t>包含提供所有设备的规范安装、调试、人员培训、保洁、垃圾清运等</w:t>
            </w:r>
          </w:p>
        </w:tc>
        <w:tc>
          <w:tcPr>
            <w:tcW w:w="600" w:type="dxa"/>
            <w:vAlign w:val="center"/>
          </w:tcPr>
          <w:p w14:paraId="35967F2D">
            <w:pPr>
              <w:ind w:firstLine="200" w:firstLineChars="100"/>
              <w:jc w:val="both"/>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rPr>
              <w:t>项</w:t>
            </w:r>
          </w:p>
        </w:tc>
        <w:tc>
          <w:tcPr>
            <w:tcW w:w="787" w:type="dxa"/>
            <w:vAlign w:val="center"/>
          </w:tcPr>
          <w:p w14:paraId="5E4B89F4">
            <w:pPr>
              <w:ind w:firstLine="482"/>
              <w:jc w:val="both"/>
              <w:rPr>
                <w:rFonts w:hint="eastAsia" w:asciiTheme="majorEastAsia" w:hAnsiTheme="majorEastAsia" w:eastAsiaTheme="majorEastAsia" w:cstheme="majorEastAsia"/>
                <w:b w:val="0"/>
                <w:bCs w:val="0"/>
                <w:sz w:val="20"/>
                <w:szCs w:val="20"/>
                <w:lang w:val="en-US" w:eastAsia="zh-CN"/>
              </w:rPr>
            </w:pPr>
            <w:r>
              <w:rPr>
                <w:rFonts w:hint="eastAsia" w:asciiTheme="majorEastAsia" w:hAnsiTheme="majorEastAsia" w:eastAsiaTheme="majorEastAsia" w:cstheme="majorEastAsia"/>
                <w:b w:val="0"/>
                <w:bCs w:val="0"/>
                <w:sz w:val="20"/>
                <w:szCs w:val="20"/>
              </w:rPr>
              <w:t>1</w:t>
            </w:r>
          </w:p>
        </w:tc>
        <w:tc>
          <w:tcPr>
            <w:tcW w:w="2188" w:type="dxa"/>
            <w:vAlign w:val="center"/>
          </w:tcPr>
          <w:p w14:paraId="1EE814FB">
            <w:pPr>
              <w:ind w:firstLine="482"/>
              <w:jc w:val="center"/>
              <w:rPr>
                <w:rFonts w:hint="eastAsia" w:asciiTheme="majorEastAsia" w:hAnsiTheme="majorEastAsia" w:eastAsiaTheme="majorEastAsia" w:cstheme="majorEastAsia"/>
                <w:b w:val="0"/>
                <w:bCs w:val="0"/>
                <w:sz w:val="20"/>
                <w:szCs w:val="20"/>
                <w:lang w:val="en-US" w:eastAsia="zh-CN"/>
              </w:rPr>
            </w:pPr>
          </w:p>
        </w:tc>
      </w:tr>
    </w:tbl>
    <w:p w14:paraId="6CEFC324">
      <w:pPr>
        <w:numPr>
          <w:ilvl w:val="0"/>
          <w:numId w:val="0"/>
        </w:numPr>
        <w:rPr>
          <w:rFonts w:hint="eastAsia" w:asciiTheme="majorEastAsia" w:hAnsiTheme="majorEastAsia" w:eastAsiaTheme="majorEastAsia" w:cstheme="majorEastAsia"/>
          <w:b/>
          <w:bCs/>
          <w:sz w:val="24"/>
        </w:rPr>
      </w:pPr>
    </w:p>
    <w:p w14:paraId="6ECA90B3">
      <w:pPr>
        <w:adjustRightInd w:val="0"/>
        <w:snapToGrid w:val="0"/>
        <w:spacing w:line="360" w:lineRule="auto"/>
        <w:ind w:firstLine="482"/>
        <w:rPr>
          <w:rFonts w:hint="eastAsia" w:asciiTheme="majorEastAsia" w:hAnsiTheme="majorEastAsia" w:eastAsiaTheme="majorEastAsia" w:cstheme="majorEastAsia"/>
          <w:b/>
          <w:bCs/>
          <w:sz w:val="24"/>
        </w:rPr>
      </w:pPr>
    </w:p>
    <w:p w14:paraId="7C077C00">
      <w:pPr>
        <w:adjustRightInd w:val="0"/>
        <w:snapToGrid w:val="0"/>
        <w:spacing w:line="360" w:lineRule="auto"/>
        <w:ind w:firstLine="482"/>
        <w:rPr>
          <w:rFonts w:hint="eastAsia" w:asciiTheme="majorEastAsia" w:hAnsiTheme="majorEastAsia" w:eastAsiaTheme="majorEastAsia" w:cstheme="majorEastAsia"/>
          <w:b/>
          <w:bCs/>
          <w:sz w:val="24"/>
        </w:rPr>
      </w:pPr>
    </w:p>
    <w:p w14:paraId="257182B9">
      <w:pPr>
        <w:adjustRightInd w:val="0"/>
        <w:snapToGrid w:val="0"/>
        <w:spacing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二、采购项目交付或者实施的时间和地点</w:t>
      </w:r>
    </w:p>
    <w:p w14:paraId="3013FF68">
      <w:pPr>
        <w:adjustRightInd w:val="0"/>
        <w:snapToGrid w:val="0"/>
        <w:spacing w:line="360" w:lineRule="auto"/>
        <w:ind w:firstLine="508"/>
        <w:rPr>
          <w:rFonts w:hint="eastAsia" w:asciiTheme="majorEastAsia" w:hAnsiTheme="majorEastAsia" w:eastAsiaTheme="majorEastAsia" w:cstheme="majorEastAsia"/>
          <w:kern w:val="0"/>
          <w:sz w:val="24"/>
          <w:lang w:bidi="zh-CN"/>
        </w:rPr>
      </w:pPr>
      <w:r>
        <w:rPr>
          <w:rFonts w:hint="eastAsia" w:asciiTheme="majorEastAsia" w:hAnsiTheme="majorEastAsia" w:eastAsiaTheme="majorEastAsia" w:cstheme="majorEastAsia"/>
          <w:spacing w:val="7"/>
          <w:kern w:val="0"/>
          <w:sz w:val="24"/>
          <w:shd w:val="clear" w:color="auto" w:fill="FFFFFF"/>
        </w:rPr>
        <w:t>1、</w:t>
      </w:r>
      <w:r>
        <w:rPr>
          <w:rFonts w:hint="eastAsia" w:asciiTheme="majorEastAsia" w:hAnsiTheme="majorEastAsia" w:eastAsiaTheme="majorEastAsia" w:cstheme="majorEastAsia"/>
          <w:kern w:val="0"/>
          <w:sz w:val="24"/>
          <w:lang w:bidi="zh-CN"/>
        </w:rPr>
        <w:t>交货期限：</w:t>
      </w:r>
      <w:bookmarkStart w:id="6" w:name="OLE_LINK121"/>
      <w:bookmarkStart w:id="7" w:name="OLE_LINK118"/>
      <w:r>
        <w:rPr>
          <w:rFonts w:hint="eastAsia" w:asciiTheme="majorEastAsia" w:hAnsiTheme="majorEastAsia" w:eastAsiaTheme="majorEastAsia" w:cstheme="majorEastAsia"/>
          <w:kern w:val="0"/>
          <w:sz w:val="24"/>
          <w:u w:val="single"/>
          <w:lang w:bidi="zh-CN"/>
        </w:rPr>
        <w:t>中标后</w:t>
      </w:r>
      <w:r>
        <w:rPr>
          <w:rFonts w:hint="eastAsia" w:asciiTheme="majorEastAsia" w:hAnsiTheme="majorEastAsia" w:eastAsiaTheme="majorEastAsia" w:cstheme="majorEastAsia"/>
          <w:kern w:val="0"/>
          <w:sz w:val="24"/>
          <w:u w:val="single"/>
          <w:lang w:val="en-US" w:bidi="zh-CN"/>
        </w:rPr>
        <w:t>20</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bookmarkEnd w:id="6"/>
      <w:bookmarkEnd w:id="7"/>
    </w:p>
    <w:p w14:paraId="2A025F45">
      <w:pPr>
        <w:widowControl/>
        <w:spacing w:line="360" w:lineRule="auto"/>
        <w:ind w:firstLine="508"/>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7"/>
          <w:kern w:val="0"/>
          <w:sz w:val="24"/>
          <w:shd w:val="clear" w:color="auto" w:fill="FFFFFF"/>
        </w:rPr>
        <w:t>2、交付地点：</w:t>
      </w:r>
      <w:r>
        <w:rPr>
          <w:rFonts w:hint="eastAsia" w:asciiTheme="majorEastAsia" w:hAnsiTheme="majorEastAsia" w:eastAsiaTheme="majorEastAsia" w:cstheme="majorEastAsia"/>
          <w:sz w:val="24"/>
        </w:rPr>
        <w:t>招标人指定地点。</w:t>
      </w:r>
    </w:p>
    <w:p w14:paraId="50F2E109">
      <w:pPr>
        <w:numPr>
          <w:ilvl w:val="0"/>
          <w:numId w:val="0"/>
        </w:numPr>
        <w:rPr>
          <w:rFonts w:hint="eastAsia" w:asciiTheme="majorEastAsia" w:hAnsiTheme="majorEastAsia" w:eastAsiaTheme="majorEastAsia" w:cstheme="majorEastAsia"/>
          <w:b/>
          <w:bCs/>
          <w:sz w:val="24"/>
        </w:rPr>
      </w:pPr>
    </w:p>
    <w:p w14:paraId="27D3F085">
      <w:pPr>
        <w:adjustRightInd w:val="0"/>
        <w:snapToGrid w:val="0"/>
        <w:spacing w:line="360" w:lineRule="auto"/>
        <w:ind w:firstLine="482"/>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、质量</w:t>
      </w:r>
      <w:r>
        <w:rPr>
          <w:rFonts w:hint="eastAsia" w:asciiTheme="majorEastAsia" w:hAnsiTheme="majorEastAsia" w:eastAsiaTheme="majorEastAsia" w:cstheme="majorEastAsia"/>
          <w:b/>
          <w:sz w:val="24"/>
          <w:lang w:val="en-US" w:eastAsia="zh-CN"/>
        </w:rPr>
        <w:t>要求</w:t>
      </w:r>
    </w:p>
    <w:p w14:paraId="4D2B3679">
      <w:pPr>
        <w:adjustRightInd w:val="0"/>
        <w:snapToGrid w:val="0"/>
        <w:spacing w:line="360" w:lineRule="auto"/>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r>
        <w:rPr>
          <w:rFonts w:hint="eastAsia" w:asciiTheme="majorEastAsia" w:hAnsiTheme="majorEastAsia" w:eastAsiaTheme="majorEastAsia" w:cstheme="majorEastAsia"/>
          <w:sz w:val="24"/>
          <w:lang w:val="en-US" w:eastAsia="zh-CN"/>
        </w:rPr>
        <w:t>报价经销商需提供原厂正品授权书。</w:t>
      </w:r>
    </w:p>
    <w:p w14:paraId="5CB9845B">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、乙方应保证其货物在正确安装、正常使用下，在其使用寿命期内应具有</w:t>
      </w:r>
      <w:r>
        <w:rPr>
          <w:rFonts w:hint="eastAsia" w:asciiTheme="majorEastAsia" w:hAnsiTheme="majorEastAsia" w:eastAsiaTheme="majorEastAsia" w:cstheme="majorEastAsia"/>
          <w:sz w:val="24"/>
          <w:lang w:val="en-US" w:eastAsia="zh-CN"/>
        </w:rPr>
        <w:t>合格</w:t>
      </w:r>
      <w:r>
        <w:rPr>
          <w:rFonts w:hint="eastAsia" w:asciiTheme="majorEastAsia" w:hAnsiTheme="majorEastAsia" w:eastAsiaTheme="majorEastAsia" w:cstheme="majorEastAsia"/>
          <w:sz w:val="24"/>
        </w:rPr>
        <w:t>的性能。</w:t>
      </w:r>
    </w:p>
    <w:p w14:paraId="3247129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、乙方应采取必要的安全措施保证货物的运输及安装的安全，并承担货物的运输及安装过程中产生的风险。</w:t>
      </w:r>
    </w:p>
    <w:p w14:paraId="3528B360">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lang w:val="en-US" w:eastAsia="zh-CN"/>
        </w:rPr>
        <w:t>四</w:t>
      </w:r>
      <w:r>
        <w:rPr>
          <w:rFonts w:hint="eastAsia" w:asciiTheme="majorEastAsia" w:hAnsiTheme="majorEastAsia" w:eastAsiaTheme="majorEastAsia" w:cstheme="majorEastAsia"/>
          <w:b/>
          <w:bCs/>
          <w:sz w:val="24"/>
          <w:highlight w:val="none"/>
        </w:rPr>
        <w:t>、付款方式</w:t>
      </w:r>
    </w:p>
    <w:p w14:paraId="7D81548B">
      <w:pPr>
        <w:adjustRightInd w:val="0"/>
        <w:snapToGrid w:val="0"/>
        <w:spacing w:line="360" w:lineRule="auto"/>
        <w:ind w:firstLine="482"/>
        <w:rPr>
          <w:rFonts w:hint="default"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甲方付30%货款</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bCs/>
          <w:sz w:val="24"/>
          <w:highlight w:val="none"/>
          <w:lang w:val="en-US" w:eastAsia="zh-CN"/>
        </w:rPr>
        <w:t>乙方</w:t>
      </w:r>
      <w:r>
        <w:rPr>
          <w:rFonts w:hint="eastAsia" w:asciiTheme="majorEastAsia" w:hAnsiTheme="majorEastAsia" w:eastAsiaTheme="majorEastAsia" w:cstheme="majorEastAsia"/>
          <w:bCs/>
          <w:sz w:val="24"/>
          <w:highlight w:val="none"/>
        </w:rPr>
        <w:t>将所有货物送至甲方指定位置并安装到位</w:t>
      </w:r>
      <w:r>
        <w:rPr>
          <w:rFonts w:hint="eastAsia" w:asciiTheme="majorEastAsia" w:hAnsiTheme="majorEastAsia" w:eastAsiaTheme="majorEastAsia" w:cstheme="majorEastAsia"/>
          <w:bCs/>
          <w:sz w:val="24"/>
          <w:highlight w:val="none"/>
          <w:lang w:eastAsia="zh-CN"/>
        </w:rPr>
        <w:t>，</w:t>
      </w:r>
      <w:r>
        <w:rPr>
          <w:rFonts w:hint="eastAsia" w:asciiTheme="majorEastAsia" w:hAnsiTheme="majorEastAsia" w:eastAsiaTheme="majorEastAsia" w:cstheme="majorEastAsia"/>
          <w:bCs/>
          <w:sz w:val="24"/>
          <w:highlight w:val="none"/>
          <w:lang w:val="en-US" w:eastAsia="zh-CN"/>
        </w:rPr>
        <w:t>经验收合格且正常使用一个月后由甲方付清剩余款项。</w:t>
      </w:r>
    </w:p>
    <w:p w14:paraId="063E5854">
      <w:pPr>
        <w:autoSpaceDE w:val="0"/>
        <w:autoSpaceDN w:val="0"/>
        <w:ind w:firstLine="48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申请付款时，乙方开具与申请金额相等的增值税专用发票。甲方以转账形式支付货款。</w:t>
      </w:r>
    </w:p>
    <w:p w14:paraId="48C96E5A">
      <w:pPr>
        <w:adjustRightInd w:val="0"/>
        <w:snapToGrid w:val="0"/>
        <w:spacing w:line="360" w:lineRule="auto"/>
        <w:ind w:firstLine="480"/>
        <w:rPr>
          <w:rFonts w:hint="eastAsia" w:asciiTheme="majorEastAsia" w:hAnsiTheme="majorEastAsia" w:eastAsiaTheme="majorEastAsia" w:cstheme="majorEastAsia"/>
          <w:sz w:val="24"/>
        </w:rPr>
      </w:pPr>
    </w:p>
    <w:p w14:paraId="14255128">
      <w:pPr>
        <w:numPr>
          <w:ilvl w:val="0"/>
          <w:numId w:val="0"/>
        </w:numPr>
        <w:rPr>
          <w:rFonts w:hint="eastAsia" w:asciiTheme="majorEastAsia" w:hAnsiTheme="majorEastAsia" w:eastAsiaTheme="majorEastAsia" w:cstheme="majorEastAsia"/>
          <w:b/>
          <w:bCs/>
          <w:sz w:val="24"/>
        </w:rPr>
      </w:pPr>
    </w:p>
    <w:p w14:paraId="45367191">
      <w:pPr>
        <w:numPr>
          <w:ilvl w:val="0"/>
          <w:numId w:val="0"/>
        </w:numPr>
        <w:rPr>
          <w:rFonts w:hint="eastAsia" w:asciiTheme="majorEastAsia" w:hAnsiTheme="majorEastAsia" w:eastAsiaTheme="majorEastAsia" w:cstheme="majorEastAsia"/>
          <w:b/>
          <w:bCs/>
          <w:sz w:val="24"/>
        </w:rPr>
      </w:pPr>
    </w:p>
    <w:p w14:paraId="73045315">
      <w:pPr>
        <w:numPr>
          <w:ilvl w:val="0"/>
          <w:numId w:val="0"/>
        </w:numPr>
        <w:rPr>
          <w:rFonts w:hint="eastAsia" w:asciiTheme="majorEastAsia" w:hAnsiTheme="majorEastAsia" w:eastAsiaTheme="majorEastAsia" w:cstheme="majorEastAsia"/>
          <w:b/>
          <w:bCs/>
          <w:sz w:val="24"/>
        </w:rPr>
      </w:pPr>
    </w:p>
    <w:p w14:paraId="260BB0D0">
      <w:pPr>
        <w:numPr>
          <w:ilvl w:val="0"/>
          <w:numId w:val="0"/>
        </w:numPr>
        <w:rPr>
          <w:rFonts w:hint="eastAsia" w:asciiTheme="majorEastAsia" w:hAnsiTheme="majorEastAsia" w:eastAsiaTheme="majorEastAsia" w:cstheme="majorEastAsia"/>
          <w:b/>
          <w:bCs/>
          <w:sz w:val="24"/>
        </w:rPr>
      </w:pPr>
    </w:p>
    <w:p w14:paraId="3072D8B0">
      <w:pPr>
        <w:numPr>
          <w:ilvl w:val="0"/>
          <w:numId w:val="0"/>
        </w:numPr>
        <w:rPr>
          <w:rFonts w:hint="eastAsia" w:asciiTheme="majorEastAsia" w:hAnsiTheme="majorEastAsia" w:eastAsiaTheme="majorEastAsia" w:cstheme="majorEastAsia"/>
          <w:b/>
          <w:bCs/>
          <w:sz w:val="24"/>
        </w:rPr>
      </w:pPr>
    </w:p>
    <w:p w14:paraId="04875E90">
      <w:pPr>
        <w:numPr>
          <w:ilvl w:val="0"/>
          <w:numId w:val="0"/>
        </w:numPr>
        <w:rPr>
          <w:rFonts w:hint="eastAsia" w:asciiTheme="majorEastAsia" w:hAnsiTheme="majorEastAsia" w:eastAsiaTheme="majorEastAsia" w:cstheme="majorEastAsia"/>
          <w:b/>
          <w:bCs/>
          <w:sz w:val="24"/>
        </w:rPr>
      </w:pPr>
    </w:p>
    <w:p w14:paraId="410E7142">
      <w:pPr>
        <w:numPr>
          <w:ilvl w:val="0"/>
          <w:numId w:val="0"/>
        </w:numPr>
        <w:rPr>
          <w:rFonts w:hint="eastAsia" w:asciiTheme="majorEastAsia" w:hAnsiTheme="majorEastAsia" w:eastAsiaTheme="majorEastAsia" w:cstheme="majorEastAsia"/>
          <w:b/>
          <w:bCs/>
          <w:sz w:val="24"/>
        </w:rPr>
      </w:pPr>
    </w:p>
    <w:p w14:paraId="63145062">
      <w:pPr>
        <w:numPr>
          <w:ilvl w:val="0"/>
          <w:numId w:val="0"/>
        </w:numPr>
        <w:rPr>
          <w:rFonts w:hint="eastAsia" w:asciiTheme="majorEastAsia" w:hAnsiTheme="majorEastAsia" w:eastAsiaTheme="majorEastAsia" w:cstheme="majorEastAsia"/>
          <w:b/>
          <w:bCs/>
          <w:sz w:val="24"/>
        </w:rPr>
      </w:pPr>
    </w:p>
    <w:p w14:paraId="61DD8ADE">
      <w:pPr>
        <w:numPr>
          <w:ilvl w:val="0"/>
          <w:numId w:val="0"/>
        </w:numPr>
        <w:rPr>
          <w:rFonts w:hint="eastAsia" w:asciiTheme="majorEastAsia" w:hAnsiTheme="majorEastAsia" w:eastAsiaTheme="majorEastAsia" w:cstheme="majorEastAsia"/>
          <w:b/>
          <w:bCs/>
          <w:sz w:val="24"/>
        </w:rPr>
      </w:pPr>
    </w:p>
    <w:p w14:paraId="2ABD847B">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5D40CE57">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3D5EE7AF">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193D8498">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73ED30DB">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5BDD90B7">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7A1F274A">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7B8128DE">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第</w:t>
      </w:r>
      <w:r>
        <w:rPr>
          <w:rFonts w:hint="eastAsia" w:asciiTheme="majorEastAsia" w:hAnsiTheme="majorEastAsia" w:eastAsiaTheme="majorEastAsia" w:cstheme="majorEastAsia"/>
          <w:b/>
          <w:sz w:val="36"/>
          <w:szCs w:val="36"/>
          <w:lang w:val="en-US" w:eastAsia="zh-CN"/>
        </w:rPr>
        <w:t>三</w:t>
      </w:r>
      <w:r>
        <w:rPr>
          <w:rFonts w:hint="eastAsia" w:asciiTheme="majorEastAsia" w:hAnsiTheme="majorEastAsia" w:eastAsiaTheme="majorEastAsia" w:cstheme="majorEastAsia"/>
          <w:b/>
          <w:sz w:val="36"/>
          <w:szCs w:val="36"/>
        </w:rPr>
        <w:t>部分  合同签订与验收付款</w:t>
      </w:r>
    </w:p>
    <w:p w14:paraId="287361D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p>
    <w:p w14:paraId="18CD40F9">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w:t>
      </w:r>
      <w:r>
        <w:rPr>
          <w:rFonts w:hint="eastAsia" w:asciiTheme="majorEastAsia" w:hAnsiTheme="majorEastAsia" w:eastAsiaTheme="majorEastAsia" w:cstheme="majorEastAsia"/>
          <w:bCs/>
          <w:sz w:val="24"/>
        </w:rPr>
        <w:t>中标供应商和采购人需在《中标通知书》发出之日起30日内签订合同。</w:t>
      </w:r>
      <w:r>
        <w:rPr>
          <w:rFonts w:hint="eastAsia" w:asciiTheme="majorEastAsia" w:hAnsiTheme="majorEastAsia" w:eastAsiaTheme="majorEastAsia" w:cstheme="majorEastAsia"/>
          <w:sz w:val="24"/>
        </w:rPr>
        <w:t>纸质合同一式</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肆</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份，采购人、供应商各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w:t>
      </w:r>
      <w:r>
        <w:rPr>
          <w:rFonts w:hint="eastAsia" w:asciiTheme="majorEastAsia" w:hAnsiTheme="majorEastAsia" w:eastAsiaTheme="majorEastAsia" w:cstheme="majorEastAsia"/>
          <w:sz w:val="24"/>
          <w:lang w:val="zh-CN"/>
        </w:rPr>
        <w:t>所签合同不得对采购文件作实质性修改</w:t>
      </w:r>
      <w:r>
        <w:rPr>
          <w:rFonts w:hint="eastAsia" w:asciiTheme="majorEastAsia" w:hAnsiTheme="majorEastAsia" w:eastAsiaTheme="majorEastAsia" w:cstheme="majorEastAsia"/>
          <w:sz w:val="24"/>
        </w:rPr>
        <w:t>。采购人不得向中标供应商提出不合理的要求作为签订合同的条件，不得与中标供应商私下订立背离采购文件实质性内容的协议。</w:t>
      </w:r>
    </w:p>
    <w:p w14:paraId="32E44210">
      <w:pPr>
        <w:keepNext w:val="0"/>
        <w:keepLines w:val="0"/>
        <w:pageBreakBefore w:val="0"/>
        <w:widowControl w:val="0"/>
        <w:wordWrap/>
        <w:overflowPunct/>
        <w:bidi w:val="0"/>
        <w:adjustRightInd/>
        <w:snapToGrid w:val="0"/>
        <w:spacing w:line="400" w:lineRule="exact"/>
        <w:ind w:firstLine="472" w:firstLineChars="196"/>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二</w:t>
      </w:r>
      <w:r>
        <w:rPr>
          <w:rFonts w:hint="eastAsia" w:asciiTheme="majorEastAsia" w:hAnsiTheme="majorEastAsia" w:eastAsiaTheme="majorEastAsia" w:cstheme="majorEastAsia"/>
          <w:sz w:val="24"/>
        </w:rPr>
        <w:t>、</w:t>
      </w:r>
      <w:bookmarkStart w:id="8" w:name="OLE_LINK1"/>
      <w:bookmarkStart w:id="9" w:name="OLE_LINK2"/>
      <w:r>
        <w:rPr>
          <w:rFonts w:hint="eastAsia" w:asciiTheme="majorEastAsia" w:hAnsiTheme="majorEastAsia" w:eastAsiaTheme="majorEastAsia" w:cstheme="majorEastAsia"/>
          <w:sz w:val="24"/>
        </w:rPr>
        <w:t>采购人按合同约定积极配合中标供应商履约，中标供应商履约到位后，请以书面形式向采购人提出验收申请，采购人接到申请后及时组织相关专业技术人员，必要时邀请专家、质检等部门共同参与验收，并出具验收报告，验收合格的支付相应款项。</w:t>
      </w:r>
    </w:p>
    <w:p w14:paraId="7D2309A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66FB1054">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4B2510CE">
      <w:pPr>
        <w:pStyle w:val="3"/>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sz w:val="24"/>
          <w:szCs w:val="24"/>
          <w:lang w:val="zh-CN"/>
        </w:rPr>
        <w:t>五</w:t>
      </w:r>
      <w:r>
        <w:rPr>
          <w:rFonts w:hint="eastAsia" w:asciiTheme="majorEastAsia" w:hAnsiTheme="majorEastAsia" w:eastAsiaTheme="majorEastAsia" w:cstheme="majorEastAsia"/>
          <w:b w:val="0"/>
          <w:bCs w:val="0"/>
          <w:sz w:val="24"/>
          <w:szCs w:val="24"/>
          <w:lang w:val="zh-CN"/>
        </w:rPr>
        <w:t>、</w:t>
      </w:r>
      <w:r>
        <w:rPr>
          <w:rFonts w:hint="eastAsia" w:asciiTheme="majorEastAsia" w:hAnsiTheme="majorEastAsia" w:eastAsiaTheme="majorEastAsia" w:cstheme="majorEastAsia"/>
          <w:b w:val="0"/>
          <w:bCs w:val="0"/>
          <w:sz w:val="24"/>
          <w:szCs w:val="24"/>
        </w:rPr>
        <w:t>不响应付款方式的，视同无效投标处理。</w:t>
      </w:r>
      <w:r>
        <w:rPr>
          <w:rFonts w:hint="eastAsia" w:asciiTheme="majorEastAsia" w:hAnsiTheme="majorEastAsia" w:eastAsiaTheme="majorEastAsia" w:cstheme="majorEastAsia"/>
          <w:b w:val="0"/>
          <w:bCs w:val="0"/>
          <w:sz w:val="24"/>
        </w:rPr>
        <w:t>实际付款方式以最终签订采购合同为准。</w:t>
      </w:r>
    </w:p>
    <w:bookmarkEnd w:id="8"/>
    <w:bookmarkEnd w:id="9"/>
    <w:p w14:paraId="720182E5">
      <w:pPr>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六、合同主要条款</w:t>
      </w:r>
      <w:r>
        <w:rPr>
          <w:rFonts w:hint="eastAsia" w:asciiTheme="majorEastAsia" w:hAnsiTheme="majorEastAsia" w:eastAsiaTheme="majorEastAsia" w:cstheme="majorEastAsia"/>
          <w:sz w:val="24"/>
          <w:lang w:eastAsia="zh-CN"/>
        </w:rPr>
        <w:t>。</w:t>
      </w:r>
    </w:p>
    <w:p w14:paraId="73097ED2">
      <w:pPr>
        <w:kinsoku w:val="0"/>
        <w:topLinePunct/>
        <w:autoSpaceDE w:val="0"/>
        <w:autoSpaceDN w:val="0"/>
        <w:snapToGrid w:val="0"/>
        <w:ind w:right="210" w:firstLine="599" w:firstLineChars="214"/>
        <w:contextualSpacing/>
        <w:rPr>
          <w:rFonts w:hint="eastAsia" w:asciiTheme="majorEastAsia" w:hAnsiTheme="majorEastAsia" w:eastAsiaTheme="majorEastAsia" w:cstheme="majorEastAsia"/>
          <w:sz w:val="28"/>
          <w:szCs w:val="28"/>
          <w:lang w:val="zh-CN"/>
        </w:rPr>
      </w:pPr>
    </w:p>
    <w:p w14:paraId="3FC968B1">
      <w:pPr>
        <w:pStyle w:val="4"/>
        <w:ind w:firstLine="577"/>
        <w:jc w:val="center"/>
        <w:rPr>
          <w:rFonts w:hint="eastAsia" w:asciiTheme="majorEastAsia" w:hAnsiTheme="majorEastAsia" w:eastAsiaTheme="majorEastAsia" w:cstheme="majorEastAsia"/>
          <w:b/>
          <w:bCs/>
          <w:w w:val="80"/>
          <w:sz w:val="36"/>
          <w:szCs w:val="36"/>
          <w:lang w:eastAsia="zh-CN"/>
        </w:rPr>
      </w:pPr>
      <w:r>
        <w:rPr>
          <w:rFonts w:hint="eastAsia" w:asciiTheme="majorEastAsia" w:hAnsiTheme="majorEastAsia" w:eastAsiaTheme="majorEastAsia" w:cstheme="majorEastAsia"/>
          <w:b/>
          <w:bCs/>
          <w:w w:val="80"/>
          <w:sz w:val="36"/>
          <w:szCs w:val="36"/>
        </w:rPr>
        <w:br w:type="page"/>
      </w:r>
    </w:p>
    <w:p w14:paraId="55C6FB25">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南通通湾旅游开发有限公司金石国际大酒店</w:t>
      </w:r>
    </w:p>
    <w:p w14:paraId="191A2B9F">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中南厅扩音改造项目合同书</w:t>
      </w:r>
    </w:p>
    <w:p w14:paraId="252ACCF3">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采购人（或称甲方）：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color w:val="000000"/>
          <w:kern w:val="0"/>
          <w:sz w:val="24"/>
          <w:u w:val="single"/>
        </w:rPr>
        <w:t xml:space="preserve">          </w:t>
      </w:r>
      <w:r>
        <w:rPr>
          <w:rFonts w:hint="eastAsia" w:asciiTheme="majorEastAsia" w:hAnsiTheme="majorEastAsia" w:eastAsiaTheme="majorEastAsia" w:cstheme="majorEastAsia"/>
          <w:sz w:val="24"/>
          <w:u w:val="single"/>
        </w:rPr>
        <w:t xml:space="preserve">                          </w:t>
      </w:r>
    </w:p>
    <w:p w14:paraId="7249479E">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中标人（或称乙方）：</w:t>
      </w:r>
      <w:r>
        <w:rPr>
          <w:rFonts w:hint="eastAsia" w:asciiTheme="majorEastAsia" w:hAnsiTheme="majorEastAsia" w:eastAsiaTheme="majorEastAsia" w:cstheme="majorEastAsia"/>
          <w:sz w:val="24"/>
          <w:u w:val="single"/>
        </w:rPr>
        <w:t xml:space="preserve">                                               </w:t>
      </w:r>
    </w:p>
    <w:p w14:paraId="1265344B">
      <w:pPr>
        <w:pStyle w:val="8"/>
        <w:adjustRightInd w:val="0"/>
        <w:snapToGrid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根据《中华人民共和国民法典》及其他有关法律规定，及</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项目的采购结果、招标文件、中标通知书及中标人的投标文件，经双方协商一致，签订本合同。</w:t>
      </w:r>
    </w:p>
    <w:p w14:paraId="3DD42FB1">
      <w:pPr>
        <w:adjustRightInd w:val="0"/>
        <w:snapToGrid w:val="0"/>
        <w:spacing w:line="360" w:lineRule="auto"/>
        <w:ind w:firstLine="482"/>
        <w:rPr>
          <w:rFonts w:hint="eastAsia" w:asciiTheme="majorEastAsia" w:hAnsiTheme="majorEastAsia" w:eastAsiaTheme="majorEastAsia" w:cstheme="majorEastAsia"/>
          <w:b/>
          <w:sz w:val="24"/>
        </w:rPr>
      </w:pPr>
      <w:bookmarkStart w:id="10" w:name="_Toc416264711"/>
      <w:bookmarkStart w:id="11" w:name="_Toc416265829"/>
      <w:bookmarkStart w:id="12" w:name="_Toc360696054"/>
      <w:r>
        <w:rPr>
          <w:rFonts w:hint="eastAsia" w:asciiTheme="majorEastAsia" w:hAnsiTheme="majorEastAsia" w:eastAsiaTheme="majorEastAsia" w:cstheme="majorEastAsia"/>
          <w:b/>
          <w:sz w:val="24"/>
        </w:rPr>
        <w:t>一、采购清单</w:t>
      </w:r>
    </w:p>
    <w:p w14:paraId="71E00FBB">
      <w:pPr>
        <w:pStyle w:val="8"/>
        <w:adjustRightInd w:val="0"/>
        <w:snapToGrid w:val="0"/>
        <w:ind w:firstLine="420"/>
        <w:textAlignment w:val="baseline"/>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详见附件。</w:t>
      </w:r>
      <w:bookmarkEnd w:id="10"/>
      <w:bookmarkEnd w:id="11"/>
      <w:bookmarkEnd w:id="12"/>
    </w:p>
    <w:p w14:paraId="2BD11A0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二 、交货期限</w:t>
      </w:r>
    </w:p>
    <w:p w14:paraId="746CE2E7">
      <w:pPr>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交货期：</w:t>
      </w:r>
      <w:r>
        <w:rPr>
          <w:rFonts w:hint="eastAsia" w:asciiTheme="majorEastAsia" w:hAnsiTheme="majorEastAsia" w:eastAsiaTheme="majorEastAsia" w:cstheme="majorEastAsia"/>
          <w:kern w:val="0"/>
          <w:sz w:val="24"/>
          <w:u w:val="single"/>
          <w:lang w:val="en-US" w:bidi="zh-CN"/>
        </w:rPr>
        <w:t>中标</w:t>
      </w:r>
      <w:r>
        <w:rPr>
          <w:rFonts w:hint="eastAsia" w:asciiTheme="majorEastAsia" w:hAnsiTheme="majorEastAsia" w:eastAsiaTheme="majorEastAsia" w:cstheme="majorEastAsia"/>
          <w:kern w:val="0"/>
          <w:sz w:val="24"/>
          <w:u w:val="single"/>
          <w:lang w:bidi="zh-CN"/>
        </w:rPr>
        <w:t>后</w:t>
      </w:r>
      <w:r>
        <w:rPr>
          <w:rFonts w:hint="eastAsia" w:asciiTheme="majorEastAsia" w:hAnsiTheme="majorEastAsia" w:eastAsiaTheme="majorEastAsia" w:cstheme="majorEastAsia"/>
          <w:kern w:val="0"/>
          <w:sz w:val="24"/>
          <w:u w:val="single"/>
          <w:lang w:val="en-US" w:bidi="zh-CN"/>
        </w:rPr>
        <w:t>20</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r>
        <w:rPr>
          <w:rFonts w:hint="eastAsia" w:asciiTheme="majorEastAsia" w:hAnsiTheme="majorEastAsia" w:eastAsiaTheme="majorEastAsia" w:cstheme="majorEastAsia"/>
          <w:sz w:val="24"/>
        </w:rPr>
        <w:t>。</w:t>
      </w:r>
    </w:p>
    <w:p w14:paraId="0473C6FC">
      <w:pPr>
        <w:widowControl/>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交货地点：甲方指定地点送货。</w:t>
      </w:r>
    </w:p>
    <w:p w14:paraId="23CE11B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三、合同价款</w:t>
      </w:r>
    </w:p>
    <w:p w14:paraId="453761F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bookmarkStart w:id="13" w:name="OLE_LINK140"/>
      <w:bookmarkStart w:id="14" w:name="OLE_LINK139"/>
      <w:r>
        <w:rPr>
          <w:rFonts w:hint="eastAsia" w:asciiTheme="majorEastAsia" w:hAnsiTheme="majorEastAsia" w:eastAsiaTheme="majorEastAsia" w:cstheme="majorEastAsia"/>
          <w:sz w:val="24"/>
        </w:rPr>
        <w:t>本合同为综合单价合同，总价为</w:t>
      </w:r>
      <w:r>
        <w:rPr>
          <w:rFonts w:hint="eastAsia" w:asciiTheme="majorEastAsia" w:hAnsiTheme="majorEastAsia" w:eastAsiaTheme="majorEastAsia" w:cstheme="majorEastAsia"/>
          <w:sz w:val="24"/>
          <w:u w:val="single"/>
        </w:rPr>
        <w:t>人民币           元（¥：</w:t>
      </w:r>
      <w:r>
        <w:rPr>
          <w:rFonts w:hint="eastAsia" w:asciiTheme="majorEastAsia" w:hAnsiTheme="majorEastAsia" w:eastAsiaTheme="majorEastAsia" w:cstheme="majorEastAsia"/>
          <w:b/>
          <w:sz w:val="24"/>
          <w:u w:val="single"/>
        </w:rPr>
        <w:t xml:space="preserve">          </w:t>
      </w:r>
      <w:r>
        <w:rPr>
          <w:rFonts w:hint="eastAsia" w:asciiTheme="majorEastAsia" w:hAnsiTheme="majorEastAsia" w:eastAsiaTheme="majorEastAsia" w:cstheme="majorEastAsia"/>
          <w:sz w:val="24"/>
          <w:u w:val="single"/>
        </w:rPr>
        <w:t>元）</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w:t>
      </w:r>
      <w:r>
        <w:rPr>
          <w:rFonts w:hint="eastAsia" w:asciiTheme="majorEastAsia" w:hAnsiTheme="majorEastAsia" w:eastAsiaTheme="majorEastAsia" w:cstheme="majorEastAsia"/>
          <w:b/>
          <w:bCs/>
          <w:sz w:val="24"/>
        </w:rPr>
        <w:t>全部费用</w:t>
      </w:r>
      <w:r>
        <w:rPr>
          <w:rFonts w:hint="eastAsia" w:asciiTheme="majorEastAsia" w:hAnsiTheme="majorEastAsia" w:eastAsiaTheme="majorEastAsia" w:cstheme="majorEastAsia"/>
          <w:sz w:val="24"/>
        </w:rPr>
        <w:t>以及企业利润、税金及和政策性文件规定及合同包含的所有风险、责任等</w:t>
      </w:r>
      <w:r>
        <w:rPr>
          <w:rFonts w:hint="eastAsia" w:asciiTheme="majorEastAsia" w:hAnsiTheme="majorEastAsia" w:eastAsiaTheme="majorEastAsia" w:cstheme="majorEastAsia"/>
          <w:b/>
          <w:bCs/>
          <w:sz w:val="24"/>
        </w:rPr>
        <w:t>各项应有费用</w:t>
      </w:r>
      <w:r>
        <w:rPr>
          <w:rFonts w:hint="eastAsia" w:asciiTheme="majorEastAsia" w:hAnsiTheme="majorEastAsia" w:eastAsiaTheme="majorEastAsia" w:cstheme="majorEastAsia"/>
          <w:sz w:val="24"/>
        </w:rPr>
        <w:t>。</w:t>
      </w:r>
    </w:p>
    <w:bookmarkEnd w:id="13"/>
    <w:bookmarkEnd w:id="14"/>
    <w:p w14:paraId="6A27747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乙方在签订本合同前对本项目的全部需求清单技术要求及说明、质量标准、招标文件、合同条件、本项目的现场条件及周围环境、交通道路、现场管理要求等已详细研究并完全明确，在合同价款中已予以充分考虑。</w:t>
      </w:r>
    </w:p>
    <w:p w14:paraId="77C89BB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四、质量保证</w:t>
      </w:r>
    </w:p>
    <w:p w14:paraId="5165BEA8">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p>
    <w:p w14:paraId="0F3F78C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14:paraId="5FD5CF92">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3、乙方应保证其货物在正确安装、正常使用下，在其使用寿命期内应具有满意的性能。</w:t>
      </w:r>
    </w:p>
    <w:p w14:paraId="1631F8B7">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4、乙方应采取必要的安全措施保证货物的运输及安装的安全，并承担货物的运输及安装过程中产生的风险。</w:t>
      </w:r>
    </w:p>
    <w:p w14:paraId="48848DB3">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五、付款方式</w:t>
      </w:r>
    </w:p>
    <w:p w14:paraId="6AD19888">
      <w:pPr>
        <w:adjustRightInd w:val="0"/>
        <w:snapToGrid w:val="0"/>
        <w:spacing w:line="360" w:lineRule="auto"/>
        <w:ind w:firstLine="482"/>
        <w:rPr>
          <w:rFonts w:hint="default"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甲方付30%货款</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bCs/>
          <w:sz w:val="24"/>
          <w:highlight w:val="none"/>
          <w:lang w:val="en-US" w:eastAsia="zh-CN"/>
        </w:rPr>
        <w:t>乙方</w:t>
      </w:r>
      <w:r>
        <w:rPr>
          <w:rFonts w:hint="eastAsia" w:asciiTheme="majorEastAsia" w:hAnsiTheme="majorEastAsia" w:eastAsiaTheme="majorEastAsia" w:cstheme="majorEastAsia"/>
          <w:bCs/>
          <w:sz w:val="24"/>
          <w:highlight w:val="none"/>
        </w:rPr>
        <w:t>将所有货物送至甲方指定位置并安装到位</w:t>
      </w:r>
      <w:r>
        <w:rPr>
          <w:rFonts w:hint="eastAsia" w:asciiTheme="majorEastAsia" w:hAnsiTheme="majorEastAsia" w:eastAsiaTheme="majorEastAsia" w:cstheme="majorEastAsia"/>
          <w:bCs/>
          <w:sz w:val="24"/>
          <w:highlight w:val="none"/>
          <w:lang w:eastAsia="zh-CN"/>
        </w:rPr>
        <w:t>，</w:t>
      </w:r>
      <w:r>
        <w:rPr>
          <w:rFonts w:hint="eastAsia" w:asciiTheme="majorEastAsia" w:hAnsiTheme="majorEastAsia" w:eastAsiaTheme="majorEastAsia" w:cstheme="majorEastAsia"/>
          <w:bCs/>
          <w:sz w:val="24"/>
          <w:highlight w:val="none"/>
          <w:lang w:val="en-US" w:eastAsia="zh-CN"/>
        </w:rPr>
        <w:t>经验收合格且正常使用一个月后由甲方付清剩余款项。</w:t>
      </w:r>
    </w:p>
    <w:p w14:paraId="40C7FDEA">
      <w:pPr>
        <w:autoSpaceDE w:val="0"/>
        <w:autoSpaceDN w:val="0"/>
        <w:ind w:firstLine="48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申请付款时，乙方开具与申请金额相等的增值税专用发票。甲方以转账形式支付货款。</w:t>
      </w:r>
    </w:p>
    <w:p w14:paraId="10BE047C">
      <w:pPr>
        <w:adjustRightInd w:val="0"/>
        <w:snapToGrid w:val="0"/>
        <w:spacing w:line="360" w:lineRule="auto"/>
        <w:ind w:firstLine="482"/>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lang w:val="en-US" w:eastAsia="zh-CN"/>
        </w:rPr>
        <w:t>六</w:t>
      </w:r>
      <w:r>
        <w:rPr>
          <w:rFonts w:hint="eastAsia" w:asciiTheme="majorEastAsia" w:hAnsiTheme="majorEastAsia" w:eastAsiaTheme="majorEastAsia" w:cstheme="majorEastAsia"/>
          <w:b/>
          <w:sz w:val="24"/>
          <w:highlight w:val="none"/>
        </w:rPr>
        <w:t>、质保及售后服务</w:t>
      </w:r>
    </w:p>
    <w:p w14:paraId="2064063E">
      <w:pPr>
        <w:adjustRightInd w:val="0"/>
        <w:snapToGrid w:val="0"/>
        <w:spacing w:line="360" w:lineRule="auto"/>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highlight w:val="none"/>
          <w:lang w:val="en-US" w:eastAsia="zh-CN"/>
        </w:rPr>
        <w:t>1、</w:t>
      </w:r>
      <w:r>
        <w:rPr>
          <w:rFonts w:hint="eastAsia" w:asciiTheme="majorEastAsia" w:hAnsiTheme="majorEastAsia" w:eastAsiaTheme="majorEastAsia" w:cstheme="majorEastAsia"/>
          <w:sz w:val="24"/>
          <w:highlight w:val="none"/>
        </w:rPr>
        <w:t>质保期限：所投产品免费质保期基本年限为</w:t>
      </w:r>
      <w:r>
        <w:rPr>
          <w:rFonts w:hint="eastAsia" w:asciiTheme="majorEastAsia" w:hAnsiTheme="majorEastAsia" w:eastAsiaTheme="majorEastAsia" w:cstheme="majorEastAsia"/>
          <w:b/>
          <w:bCs/>
          <w:sz w:val="24"/>
          <w:highlight w:val="none"/>
          <w:lang w:val="en-US" w:eastAsia="zh-CN"/>
        </w:rPr>
        <w:t>一</w:t>
      </w:r>
      <w:r>
        <w:rPr>
          <w:rFonts w:hint="eastAsia" w:asciiTheme="majorEastAsia" w:hAnsiTheme="majorEastAsia" w:eastAsiaTheme="majorEastAsia" w:cstheme="majorEastAsia"/>
          <w:b/>
          <w:bCs/>
          <w:sz w:val="24"/>
          <w:highlight w:val="none"/>
        </w:rPr>
        <w:t>年</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sz w:val="24"/>
        </w:rPr>
        <w:t>设备质量保修期内实行质量三包，免费为用户提供易损件并及时派有关人员为用户更换</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 xml:space="preserve">        </w:t>
      </w:r>
    </w:p>
    <w:p w14:paraId="01C3C614">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、保修期满后维修费用按照材料成本收取。</w:t>
      </w:r>
    </w:p>
    <w:p w14:paraId="3DC7D7ED">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、所有货品应由乙方免费按时送达指定地点，并安装调配好。</w:t>
      </w:r>
    </w:p>
    <w:p w14:paraId="1E436358">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七</w:t>
      </w:r>
      <w:r>
        <w:rPr>
          <w:rFonts w:hint="eastAsia" w:asciiTheme="majorEastAsia" w:hAnsiTheme="majorEastAsia" w:eastAsiaTheme="majorEastAsia" w:cstheme="majorEastAsia"/>
          <w:b/>
          <w:sz w:val="24"/>
        </w:rPr>
        <w:t>、双方权利及义务</w:t>
      </w:r>
    </w:p>
    <w:p w14:paraId="645F0EA2">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1、甲方</w:t>
      </w:r>
    </w:p>
    <w:p w14:paraId="08CDE6F6">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（1）及时组织交货验收、移交等手续。</w:t>
      </w:r>
    </w:p>
    <w:p w14:paraId="1A42721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（2）办理结算、支付合同款项。</w:t>
      </w:r>
    </w:p>
    <w:p w14:paraId="3BCBCBA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2、乙方</w:t>
      </w:r>
    </w:p>
    <w:p w14:paraId="398B6FEE">
      <w:pPr>
        <w:adjustRightInd w:val="0"/>
        <w:snapToGrid w:val="0"/>
        <w:spacing w:line="360" w:lineRule="auto"/>
        <w:ind w:firstLine="480"/>
        <w:outlineLvl w:val="1"/>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（1）乙方所供货物最终验收后，应对由于设计、工艺或材料的缺陷而发生的任何不足或故障负责，并承担由此引起的一切后果。</w:t>
      </w:r>
    </w:p>
    <w:p w14:paraId="124814DE">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（2）在</w:t>
      </w:r>
      <w:r>
        <w:rPr>
          <w:rFonts w:hint="eastAsia" w:asciiTheme="majorEastAsia" w:hAnsiTheme="majorEastAsia" w:eastAsiaTheme="majorEastAsia" w:cstheme="majorEastAsia"/>
          <w:bCs/>
          <w:sz w:val="24"/>
          <w:lang w:val="en-US" w:eastAsia="zh-CN"/>
        </w:rPr>
        <w:t>搬运</w:t>
      </w:r>
      <w:r>
        <w:rPr>
          <w:rFonts w:hint="eastAsia" w:asciiTheme="majorEastAsia" w:hAnsiTheme="majorEastAsia" w:eastAsiaTheme="majorEastAsia" w:cstheme="majorEastAsia"/>
          <w:bCs/>
          <w:sz w:val="24"/>
        </w:rPr>
        <w:t>过程中，乙方必须保证现场的整洁，做到地面、墙面等均无污染，施工垃圾必须及时清理离场。</w:t>
      </w:r>
    </w:p>
    <w:p w14:paraId="14EAC67B">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（3）乙方应严格按国家及行业安全生产的有关管理规定，采取安全措施组织安装施工。若发生安全事故，一切责任由乙方承担。</w:t>
      </w:r>
    </w:p>
    <w:p w14:paraId="77DC155B">
      <w:pPr>
        <w:adjustRightInd w:val="0"/>
        <w:snapToGrid w:val="0"/>
        <w:spacing w:line="360" w:lineRule="auto"/>
        <w:ind w:firstLine="562"/>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en-US" w:eastAsia="zh-CN"/>
        </w:rPr>
        <w:t>八</w:t>
      </w:r>
      <w:r>
        <w:rPr>
          <w:rFonts w:hint="eastAsia" w:asciiTheme="majorEastAsia" w:hAnsiTheme="majorEastAsia" w:eastAsiaTheme="majorEastAsia" w:cstheme="majorEastAsia"/>
          <w:b/>
          <w:sz w:val="24"/>
          <w:szCs w:val="24"/>
        </w:rPr>
        <w:t>、违约责任</w:t>
      </w:r>
    </w:p>
    <w:p w14:paraId="0109680F">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合同一方不履行合同义务或者履行合同义务不符合约定的，应当承担继续履行、采取补救措施或赔偿损失等违约责任。</w:t>
      </w:r>
    </w:p>
    <w:p w14:paraId="0017E159">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1、甲方违约责任</w:t>
      </w:r>
    </w:p>
    <w:p w14:paraId="5497814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1.1在合同生效后，非乙方原因甲方要求退货的，应向乙方偿付合同总价款的</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%，作为违约金，违约金不足以补偿损失的，乙方有权要求甲方补足。</w:t>
      </w:r>
    </w:p>
    <w:p w14:paraId="5A1E5F04">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 甲方逾期支付货款的应按照逾期付款金额每天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的数额，支付逾期付款违约金。</w:t>
      </w:r>
    </w:p>
    <w:p w14:paraId="5E91967B">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 甲方违反合同规定，拒绝接收乙方交付的合格标的物，应当承担乙方由此造成的损失。</w:t>
      </w:r>
    </w:p>
    <w:p w14:paraId="7A43BCE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乙方违约责任</w:t>
      </w:r>
    </w:p>
    <w:p w14:paraId="7330B3B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 乙方不能交货，或交货不合格从而影响甲方按期正常使用的，应向甲方偿付合同总价款</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%的违约金，违约金不足以补偿损失的，甲方有权要求乙方补足。</w:t>
      </w:r>
    </w:p>
    <w:p w14:paraId="57FF7F8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 乙方逾期交货的 ，应在发货前与甲方协商，甲方仍需求的，乙方应立即发货，按照逾期交货部分货款每天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的数额，支付逾期交货违约金，同时承担甲方因此遭致的损失费用。</w:t>
      </w:r>
    </w:p>
    <w:p w14:paraId="03C0192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九</w:t>
      </w:r>
      <w:r>
        <w:rPr>
          <w:rFonts w:hint="eastAsia" w:asciiTheme="majorEastAsia" w:hAnsiTheme="majorEastAsia" w:eastAsiaTheme="majorEastAsia" w:cstheme="majorEastAsia"/>
          <w:b/>
          <w:sz w:val="24"/>
        </w:rPr>
        <w:t>、争议解决方式</w:t>
      </w:r>
    </w:p>
    <w:p w14:paraId="44176D6A">
      <w:pPr>
        <w:tabs>
          <w:tab w:val="left" w:pos="1820"/>
        </w:tabs>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本合同在履行过程中，如发生争议，双方应通过友好协商解决；协商不成时，任何一方均有权向所在地人民法院提起诉讼。</w:t>
      </w:r>
    </w:p>
    <w:p w14:paraId="5856A2F5">
      <w:pPr>
        <w:spacing w:before="0" w:after="0"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十、附则</w:t>
      </w:r>
    </w:p>
    <w:p w14:paraId="3FC30306">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 合同份数：本合同一式</w:t>
      </w:r>
      <w:r>
        <w:rPr>
          <w:rFonts w:hint="eastAsia" w:asciiTheme="majorEastAsia" w:hAnsiTheme="majorEastAsia" w:eastAsiaTheme="majorEastAsia" w:cstheme="majorEastAsia"/>
          <w:kern w:val="0"/>
          <w:sz w:val="24"/>
          <w:lang w:val="en-US" w:eastAsia="zh-CN"/>
        </w:rPr>
        <w:t>肆</w:t>
      </w:r>
      <w:r>
        <w:rPr>
          <w:rFonts w:hint="eastAsia" w:asciiTheme="majorEastAsia" w:hAnsiTheme="majorEastAsia" w:eastAsiaTheme="majorEastAsia" w:cstheme="majorEastAsia"/>
          <w:kern w:val="0"/>
          <w:sz w:val="24"/>
        </w:rPr>
        <w:t>份，采购人、中标人各执</w:t>
      </w:r>
      <w:r>
        <w:rPr>
          <w:rFonts w:hint="eastAsia" w:asciiTheme="majorEastAsia" w:hAnsiTheme="majorEastAsia" w:eastAsiaTheme="majorEastAsia" w:cstheme="majorEastAsia"/>
          <w:kern w:val="0"/>
          <w:sz w:val="24"/>
          <w:lang w:val="en-US" w:eastAsia="zh-CN"/>
        </w:rPr>
        <w:t>贰</w:t>
      </w:r>
      <w:r>
        <w:rPr>
          <w:rFonts w:hint="eastAsia" w:asciiTheme="majorEastAsia" w:hAnsiTheme="majorEastAsia" w:eastAsiaTheme="majorEastAsia" w:cstheme="majorEastAsia"/>
          <w:kern w:val="0"/>
          <w:sz w:val="24"/>
        </w:rPr>
        <w:t>份。</w:t>
      </w:r>
    </w:p>
    <w:p w14:paraId="58F02934">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2、本合同文件使用中文书写、解释和说明。</w:t>
      </w:r>
    </w:p>
    <w:p w14:paraId="568CF20A">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 本合同履行过程中产生的纪要、协议以及成交通知书、采购文件和投标文件为本合同的附件，与合同具有同等效力。</w:t>
      </w:r>
    </w:p>
    <w:p w14:paraId="6B1F2BD1">
      <w:pPr>
        <w:spacing w:line="360" w:lineRule="auto"/>
        <w:ind w:firstLine="480"/>
        <w:rPr>
          <w:rFonts w:hint="eastAsia" w:asciiTheme="majorEastAsia" w:hAnsiTheme="majorEastAsia" w:eastAsiaTheme="majorEastAsia" w:cstheme="majorEastAsia"/>
          <w:bCs/>
          <w:sz w:val="24"/>
          <w:szCs w:val="20"/>
        </w:rPr>
      </w:pPr>
      <w:r>
        <w:rPr>
          <w:rFonts w:hint="eastAsia" w:asciiTheme="majorEastAsia" w:hAnsiTheme="majorEastAsia" w:eastAsiaTheme="majorEastAsia" w:cstheme="majorEastAsia"/>
          <w:bCs/>
          <w:sz w:val="24"/>
          <w:szCs w:val="20"/>
        </w:rPr>
        <w:t>本合同未尽事宜，由双方协商处理。</w:t>
      </w:r>
    </w:p>
    <w:p w14:paraId="5428D203">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甲    方（公章）：                       乙    方（公章）：</w:t>
      </w:r>
    </w:p>
    <w:p w14:paraId="3E6AF3C9">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法定代表人或 委托代理人（签字）：        法定代表人或委托代理人（签字）：</w:t>
      </w:r>
    </w:p>
    <w:p w14:paraId="31EB3875">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地址：                                   地址：</w:t>
      </w:r>
      <w:r>
        <w:rPr>
          <w:rFonts w:hint="eastAsia" w:asciiTheme="majorEastAsia" w:hAnsiTheme="majorEastAsia" w:eastAsiaTheme="majorEastAsia" w:cstheme="majorEastAsia"/>
          <w:sz w:val="24"/>
          <w:szCs w:val="21"/>
          <w:u w:val="single"/>
        </w:rPr>
        <w:t xml:space="preserve">                           </w:t>
      </w:r>
    </w:p>
    <w:p w14:paraId="3A5C423D">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电话：                                   电话：         </w:t>
      </w:r>
    </w:p>
    <w:p w14:paraId="64D39060">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邮政编码：                               邮政编码：</w:t>
      </w:r>
    </w:p>
    <w:p w14:paraId="46A2ABBE">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签订日期： 年    月    日               签订日期        年    月    日</w:t>
      </w:r>
    </w:p>
    <w:p w14:paraId="1C11EAE2">
      <w:pPr>
        <w:snapToGrid w:val="0"/>
        <w:spacing w:line="480" w:lineRule="auto"/>
        <w:ind w:firstLine="723" w:firstLineChars="300"/>
        <w:contextualSpacing/>
        <w:rPr>
          <w:rFonts w:hint="eastAsia" w:asciiTheme="majorEastAsia" w:hAnsiTheme="majorEastAsia" w:eastAsiaTheme="majorEastAsia" w:cstheme="majorEastAsia"/>
          <w:b/>
          <w:sz w:val="24"/>
        </w:rPr>
      </w:pPr>
    </w:p>
    <w:p w14:paraId="45F05DDB">
      <w:pPr>
        <w:snapToGrid w:val="0"/>
        <w:spacing w:line="500" w:lineRule="exact"/>
        <w:ind w:left="0" w:leftChars="0" w:firstLine="2168" w:firstLineChars="600"/>
        <w:jc w:val="both"/>
        <w:outlineLvl w:val="0"/>
        <w:rPr>
          <w:b/>
          <w:bCs w:val="0"/>
          <w:spacing w:val="2"/>
          <w:sz w:val="36"/>
          <w:szCs w:val="36"/>
        </w:rPr>
      </w:pPr>
      <w:r>
        <w:rPr>
          <w:b/>
          <w:bCs w:val="0"/>
          <w:sz w:val="36"/>
          <w:szCs w:val="36"/>
        </w:rPr>
        <w:t>第</w:t>
      </w:r>
      <w:r>
        <w:rPr>
          <w:rFonts w:hint="eastAsia"/>
          <w:b/>
          <w:bCs w:val="0"/>
          <w:sz w:val="36"/>
          <w:szCs w:val="36"/>
          <w:lang w:val="en-US" w:eastAsia="zh-CN"/>
        </w:rPr>
        <w:t>四</w:t>
      </w:r>
      <w:r>
        <w:rPr>
          <w:b/>
          <w:bCs w:val="0"/>
          <w:sz w:val="36"/>
          <w:szCs w:val="36"/>
        </w:rPr>
        <w:t>部分  投标文件组成</w:t>
      </w:r>
    </w:p>
    <w:p w14:paraId="600172CE">
      <w:pPr>
        <w:snapToGrid w:val="0"/>
        <w:spacing w:line="500" w:lineRule="exact"/>
        <w:ind w:left="0" w:leftChars="0" w:firstLine="0" w:firstLineChars="0"/>
        <w:jc w:val="center"/>
        <w:outlineLvl w:val="0"/>
        <w:rPr>
          <w:rFonts w:hint="eastAsia" w:asciiTheme="majorEastAsia" w:hAnsiTheme="majorEastAsia" w:eastAsiaTheme="majorEastAsia" w:cstheme="majorEastAsia"/>
          <w:b/>
          <w:bCs/>
          <w:w w:val="80"/>
          <w:sz w:val="44"/>
          <w:szCs w:val="44"/>
        </w:rPr>
      </w:pPr>
    </w:p>
    <w:p w14:paraId="7499C206">
      <w:pPr>
        <w:snapToGrid w:val="0"/>
        <w:spacing w:line="500" w:lineRule="exact"/>
        <w:ind w:left="0" w:leftChars="0" w:firstLine="0" w:firstLineChars="0"/>
        <w:jc w:val="both"/>
        <w:outlineLvl w:val="0"/>
        <w:rPr>
          <w:rFonts w:hint="eastAsia" w:asciiTheme="majorEastAsia" w:hAnsiTheme="majorEastAsia" w:eastAsiaTheme="majorEastAsia" w:cstheme="majorEastAsia"/>
          <w:b/>
          <w:bCs/>
          <w:w w:val="80"/>
          <w:sz w:val="44"/>
          <w:szCs w:val="44"/>
        </w:rPr>
      </w:pPr>
    </w:p>
    <w:p w14:paraId="1DE83D00">
      <w:pPr>
        <w:snapToGrid w:val="0"/>
        <w:spacing w:line="500" w:lineRule="exact"/>
        <w:ind w:left="0" w:leftChars="0" w:firstLine="0" w:firstLineChars="0"/>
        <w:jc w:val="both"/>
        <w:outlineLvl w:val="0"/>
        <w:rPr>
          <w:rFonts w:hint="eastAsia" w:asciiTheme="majorEastAsia" w:hAnsiTheme="majorEastAsia" w:eastAsiaTheme="majorEastAsia" w:cstheme="majorEastAsia"/>
          <w:b/>
          <w:bCs/>
          <w:kern w:val="0"/>
          <w:sz w:val="32"/>
          <w:szCs w:val="32"/>
          <w:lang w:val="zh-CN"/>
        </w:rPr>
      </w:pPr>
      <w:r>
        <w:rPr>
          <w:rFonts w:hint="eastAsia" w:asciiTheme="majorEastAsia" w:hAnsiTheme="majorEastAsia" w:eastAsiaTheme="majorEastAsia" w:cstheme="majorEastAsia"/>
          <w:b/>
          <w:bCs/>
          <w:kern w:val="0"/>
          <w:sz w:val="32"/>
          <w:szCs w:val="32"/>
          <w:lang w:val="zh-CN"/>
        </w:rPr>
        <w:t>附件1</w:t>
      </w:r>
    </w:p>
    <w:p w14:paraId="6F1A6BA7">
      <w:pPr>
        <w:spacing w:line="460" w:lineRule="exact"/>
        <w:ind w:firstLine="480"/>
        <w:jc w:val="right"/>
        <w:rPr>
          <w:rFonts w:hint="eastAsia" w:asciiTheme="majorEastAsia" w:hAnsiTheme="majorEastAsia" w:eastAsiaTheme="majorEastAsia" w:cstheme="majorEastAsia"/>
          <w:bCs/>
          <w:sz w:val="24"/>
          <w:szCs w:val="21"/>
        </w:rPr>
      </w:pPr>
    </w:p>
    <w:p w14:paraId="635825D5">
      <w:pPr>
        <w:spacing w:line="460" w:lineRule="exact"/>
        <w:ind w:firstLine="480"/>
        <w:jc w:val="right"/>
        <w:rPr>
          <w:rFonts w:hint="eastAsia" w:asciiTheme="majorEastAsia" w:hAnsiTheme="majorEastAsia" w:eastAsiaTheme="majorEastAsia" w:cstheme="majorEastAsia"/>
          <w:bCs/>
          <w:sz w:val="24"/>
          <w:szCs w:val="21"/>
        </w:rPr>
      </w:pPr>
    </w:p>
    <w:p w14:paraId="6E12574D">
      <w:pPr>
        <w:spacing w:line="460" w:lineRule="exact"/>
        <w:ind w:firstLine="480"/>
        <w:jc w:val="right"/>
        <w:rPr>
          <w:rFonts w:hint="eastAsia" w:asciiTheme="majorEastAsia" w:hAnsiTheme="majorEastAsia" w:eastAsiaTheme="majorEastAsia" w:cstheme="majorEastAsia"/>
          <w:bCs/>
          <w:sz w:val="24"/>
          <w:szCs w:val="21"/>
        </w:rPr>
      </w:pPr>
    </w:p>
    <w:p w14:paraId="7363EFA2">
      <w:pPr>
        <w:spacing w:line="560" w:lineRule="exact"/>
        <w:jc w:val="left"/>
        <w:rPr>
          <w:rFonts w:hint="eastAsia" w:asciiTheme="majorEastAsia" w:hAnsiTheme="majorEastAsia" w:eastAsiaTheme="majorEastAsia" w:cstheme="majorEastAsia"/>
          <w:sz w:val="24"/>
          <w:szCs w:val="24"/>
          <w:lang w:val="en-US" w:eastAsia="zh-CN"/>
        </w:rPr>
      </w:pPr>
    </w:p>
    <w:p w14:paraId="56B0F0C0">
      <w:pPr>
        <w:spacing w:line="360" w:lineRule="auto"/>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1、</w:t>
      </w:r>
      <w:r>
        <w:rPr>
          <w:rFonts w:hint="eastAsia" w:asciiTheme="majorEastAsia" w:hAnsiTheme="majorEastAsia" w:eastAsiaTheme="majorEastAsia" w:cstheme="majorEastAsia"/>
          <w:b/>
          <w:bCs/>
          <w:sz w:val="30"/>
          <w:szCs w:val="30"/>
        </w:rPr>
        <w:t>法定代表人身份证明</w:t>
      </w:r>
    </w:p>
    <w:p w14:paraId="30F7CEA4">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南通通湾旅游开发有限公司金石国际大酒店</w:t>
      </w:r>
      <w:r>
        <w:rPr>
          <w:rFonts w:hint="eastAsia" w:asciiTheme="majorEastAsia" w:hAnsiTheme="majorEastAsia" w:eastAsiaTheme="majorEastAsia" w:cstheme="majorEastAsia"/>
          <w:sz w:val="24"/>
          <w:szCs w:val="24"/>
        </w:rPr>
        <w:t>：</w:t>
      </w:r>
    </w:p>
    <w:p w14:paraId="2C16FA57">
      <w:pPr>
        <w:snapToGrid w:val="0"/>
        <w:spacing w:line="4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现任我单位</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职务，为法定代表人，特此证明。</w:t>
      </w:r>
    </w:p>
    <w:p w14:paraId="2FC04661">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w:t>
      </w:r>
      <w:r>
        <w:rPr>
          <w:rFonts w:hint="eastAsia" w:asciiTheme="majorEastAsia" w:hAnsiTheme="majorEastAsia" w:eastAsiaTheme="majorEastAsia" w:cstheme="majorEastAsia"/>
          <w:sz w:val="24"/>
          <w:szCs w:val="24"/>
        </w:rPr>
        <w:t>身份证号码：</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4D18BC29">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法定代表联系方式：</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23257C88">
      <w:pPr>
        <w:jc w:val="right"/>
        <w:rPr>
          <w:rFonts w:hint="eastAsia" w:asciiTheme="majorEastAsia" w:hAnsiTheme="majorEastAsia" w:eastAsiaTheme="majorEastAsia" w:cstheme="majorEastAsia"/>
          <w:sz w:val="24"/>
          <w:szCs w:val="24"/>
          <w:lang w:val="en-US" w:eastAsia="zh-CN"/>
        </w:rPr>
      </w:pPr>
    </w:p>
    <w:p w14:paraId="36CCDE81">
      <w:pPr>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（盖章）</w:t>
      </w:r>
    </w:p>
    <w:p w14:paraId="2DB3EDC9">
      <w:pPr>
        <w:snapToGrid w:val="0"/>
        <w:spacing w:line="420" w:lineRule="exact"/>
        <w:ind w:firstLine="484" w:firstLineChars="202"/>
        <w:jc w:val="righ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年</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月</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日</w:t>
      </w:r>
    </w:p>
    <w:p w14:paraId="70D72C82">
      <w:pPr>
        <w:tabs>
          <w:tab w:val="left" w:pos="3055"/>
        </w:tabs>
        <w:snapToGrid w:val="0"/>
        <w:spacing w:line="360" w:lineRule="auto"/>
        <w:jc w:val="lef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rPr>
        <w:t>注：提供法定代表人的身份证正反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w:t>
      </w:r>
      <w:r>
        <w:rPr>
          <w:rFonts w:hint="eastAsia" w:asciiTheme="majorEastAsia" w:hAnsiTheme="majorEastAsia" w:eastAsiaTheme="majorEastAsia" w:cstheme="majorEastAsia"/>
          <w:sz w:val="24"/>
          <w:szCs w:val="24"/>
          <w:lang w:val="en-US" w:eastAsia="zh-CN"/>
        </w:rPr>
        <w:t>复印件或扫描件</w:t>
      </w:r>
    </w:p>
    <w:p w14:paraId="125AB76C">
      <w:pPr>
        <w:snapToGrid w:val="0"/>
        <w:spacing w:line="480" w:lineRule="exact"/>
        <w:rPr>
          <w:rFonts w:hint="eastAsia" w:asciiTheme="majorEastAsia" w:hAnsiTheme="majorEastAsia" w:eastAsiaTheme="majorEastAsia" w:cstheme="majorEastAsia"/>
          <w:sz w:val="24"/>
          <w:szCs w:val="24"/>
        </w:rPr>
      </w:pPr>
    </w:p>
    <w:p w14:paraId="79792577">
      <w:pPr>
        <w:snapToGrid w:val="0"/>
        <w:spacing w:line="480" w:lineRule="exact"/>
        <w:rPr>
          <w:rFonts w:hint="eastAsia" w:asciiTheme="majorEastAsia" w:hAnsiTheme="majorEastAsia" w:eastAsiaTheme="majorEastAsia" w:cstheme="majorEastAsia"/>
          <w:sz w:val="24"/>
          <w:szCs w:val="24"/>
        </w:rPr>
      </w:pPr>
    </w:p>
    <w:p w14:paraId="0601807E">
      <w:pPr>
        <w:snapToGrid w:val="0"/>
        <w:spacing w:line="480" w:lineRule="exact"/>
        <w:rPr>
          <w:rFonts w:hint="eastAsia" w:asciiTheme="majorEastAsia" w:hAnsiTheme="majorEastAsia" w:eastAsiaTheme="majorEastAsia" w:cstheme="majorEastAsia"/>
          <w:sz w:val="24"/>
          <w:szCs w:val="24"/>
        </w:rPr>
      </w:pPr>
    </w:p>
    <w:p w14:paraId="2A8A79E6">
      <w:pPr>
        <w:jc w:val="center"/>
        <w:rPr>
          <w:rFonts w:hint="eastAsia" w:asciiTheme="majorEastAsia" w:hAnsiTheme="majorEastAsia" w:eastAsiaTheme="majorEastAsia" w:cstheme="majorEastAsia"/>
          <w:b/>
          <w:bCs/>
          <w:sz w:val="30"/>
          <w:szCs w:val="30"/>
          <w:lang w:val="en-US" w:eastAsia="zh-CN"/>
        </w:rPr>
      </w:pPr>
    </w:p>
    <w:p w14:paraId="7CB0817E">
      <w:pPr>
        <w:jc w:val="center"/>
        <w:rPr>
          <w:rFonts w:hint="eastAsia" w:asciiTheme="majorEastAsia" w:hAnsiTheme="majorEastAsia" w:eastAsiaTheme="majorEastAsia" w:cstheme="majorEastAsia"/>
          <w:b/>
          <w:bCs/>
          <w:sz w:val="30"/>
          <w:szCs w:val="30"/>
          <w:lang w:val="en-US" w:eastAsia="zh-CN"/>
        </w:rPr>
      </w:pPr>
    </w:p>
    <w:p w14:paraId="3A109DDD">
      <w:pPr>
        <w:jc w:val="center"/>
        <w:rPr>
          <w:rFonts w:hint="eastAsia" w:asciiTheme="majorEastAsia" w:hAnsiTheme="majorEastAsia" w:eastAsiaTheme="majorEastAsia" w:cstheme="majorEastAsia"/>
          <w:b/>
          <w:bCs/>
          <w:sz w:val="30"/>
          <w:szCs w:val="30"/>
          <w:lang w:val="en-US" w:eastAsia="zh-CN"/>
        </w:rPr>
      </w:pPr>
    </w:p>
    <w:p w14:paraId="6E88CDAD">
      <w:pPr>
        <w:jc w:val="center"/>
        <w:rPr>
          <w:rFonts w:hint="eastAsia" w:asciiTheme="majorEastAsia" w:hAnsiTheme="majorEastAsia" w:eastAsiaTheme="majorEastAsia" w:cstheme="majorEastAsia"/>
          <w:b/>
          <w:bCs/>
          <w:sz w:val="30"/>
          <w:szCs w:val="30"/>
          <w:lang w:val="en-US" w:eastAsia="zh-CN"/>
        </w:rPr>
      </w:pPr>
    </w:p>
    <w:p w14:paraId="21EF4FD0">
      <w:pPr>
        <w:jc w:val="center"/>
        <w:rPr>
          <w:rFonts w:hint="eastAsia" w:asciiTheme="majorEastAsia" w:hAnsiTheme="majorEastAsia" w:eastAsiaTheme="majorEastAsia" w:cstheme="majorEastAsia"/>
          <w:b/>
          <w:bCs/>
          <w:sz w:val="30"/>
          <w:szCs w:val="30"/>
          <w:lang w:val="en-US" w:eastAsia="zh-CN"/>
        </w:rPr>
      </w:pPr>
    </w:p>
    <w:p w14:paraId="14297FDF">
      <w:pPr>
        <w:jc w:val="both"/>
        <w:rPr>
          <w:rFonts w:hint="eastAsia" w:asciiTheme="majorEastAsia" w:hAnsiTheme="majorEastAsia" w:eastAsiaTheme="majorEastAsia" w:cstheme="majorEastAsia"/>
          <w:b/>
          <w:bCs/>
          <w:sz w:val="30"/>
          <w:szCs w:val="30"/>
          <w:lang w:val="en-US" w:eastAsia="zh-CN"/>
        </w:rPr>
      </w:pPr>
    </w:p>
    <w:p w14:paraId="2E51E61F">
      <w:pPr>
        <w:jc w:val="center"/>
        <w:rPr>
          <w:rFonts w:hint="eastAsia" w:asciiTheme="majorEastAsia" w:hAnsiTheme="majorEastAsia" w:eastAsiaTheme="majorEastAsia" w:cstheme="majorEastAsia"/>
          <w:b/>
          <w:bCs/>
          <w:sz w:val="30"/>
          <w:szCs w:val="30"/>
          <w:lang w:val="en-US" w:eastAsia="zh-CN"/>
        </w:rPr>
      </w:pPr>
    </w:p>
    <w:p w14:paraId="1ACFFEC0">
      <w:pPr>
        <w:jc w:val="center"/>
        <w:rPr>
          <w:rFonts w:hint="eastAsia" w:asciiTheme="majorEastAsia" w:hAnsiTheme="majorEastAsia" w:eastAsiaTheme="majorEastAsia" w:cstheme="majorEastAsia"/>
          <w:b/>
          <w:bCs/>
          <w:sz w:val="30"/>
          <w:szCs w:val="30"/>
          <w:lang w:val="en-US" w:eastAsia="zh-CN"/>
        </w:rPr>
      </w:pPr>
    </w:p>
    <w:p w14:paraId="0E3433A1">
      <w:pPr>
        <w:spacing w:line="460" w:lineRule="exact"/>
        <w:ind w:firstLine="480"/>
        <w:jc w:val="both"/>
        <w:rPr>
          <w:rFonts w:hint="eastAsia" w:asciiTheme="majorEastAsia" w:hAnsiTheme="majorEastAsia" w:eastAsiaTheme="majorEastAsia" w:cstheme="majorEastAsia"/>
          <w:b/>
          <w:bCs/>
          <w:sz w:val="32"/>
          <w:szCs w:val="40"/>
          <w:highlight w:val="none"/>
          <w:lang w:val="en-US" w:eastAsia="zh-CN"/>
        </w:rPr>
      </w:pPr>
      <w:r>
        <w:rPr>
          <w:rFonts w:hint="eastAsia" w:asciiTheme="majorEastAsia" w:hAnsiTheme="majorEastAsia" w:eastAsiaTheme="majorEastAsia" w:cstheme="majorEastAsia"/>
          <w:b/>
          <w:bCs/>
          <w:sz w:val="32"/>
          <w:szCs w:val="40"/>
          <w:highlight w:val="none"/>
          <w:lang w:val="en-US" w:eastAsia="zh-CN"/>
        </w:rPr>
        <w:t>附件2</w:t>
      </w:r>
    </w:p>
    <w:p w14:paraId="0B2F18F2">
      <w:pPr>
        <w:jc w:val="both"/>
        <w:rPr>
          <w:rFonts w:hint="eastAsia" w:asciiTheme="majorEastAsia" w:hAnsiTheme="majorEastAsia" w:eastAsiaTheme="majorEastAsia" w:cstheme="majorEastAsia"/>
          <w:b/>
          <w:bCs/>
          <w:sz w:val="30"/>
          <w:szCs w:val="30"/>
          <w:lang w:val="en-US" w:eastAsia="zh-CN"/>
        </w:rPr>
      </w:pPr>
    </w:p>
    <w:p w14:paraId="74DD8387">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2、</w:t>
      </w:r>
      <w:r>
        <w:rPr>
          <w:rFonts w:hint="eastAsia" w:asciiTheme="majorEastAsia" w:hAnsiTheme="majorEastAsia" w:eastAsiaTheme="majorEastAsia" w:cstheme="majorEastAsia"/>
          <w:b/>
          <w:bCs/>
          <w:sz w:val="30"/>
          <w:szCs w:val="30"/>
        </w:rPr>
        <w:t>授权委托书</w:t>
      </w:r>
    </w:p>
    <w:p w14:paraId="0A469002">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（如被授权人参加</w:t>
      </w:r>
      <w:r>
        <w:rPr>
          <w:rFonts w:hint="eastAsia" w:asciiTheme="majorEastAsia" w:hAnsiTheme="majorEastAsia" w:eastAsiaTheme="majorEastAsia" w:cstheme="majorEastAsia"/>
          <w:bCs/>
          <w:sz w:val="24"/>
          <w:szCs w:val="24"/>
          <w:lang w:val="en-US" w:eastAsia="zh-CN"/>
        </w:rPr>
        <w:t>报价</w:t>
      </w:r>
      <w:r>
        <w:rPr>
          <w:rFonts w:hint="eastAsia" w:asciiTheme="majorEastAsia" w:hAnsiTheme="majorEastAsia" w:eastAsiaTheme="majorEastAsia" w:cstheme="majorEastAsia"/>
          <w:bCs/>
          <w:sz w:val="24"/>
          <w:szCs w:val="24"/>
        </w:rPr>
        <w:t>，须出示此证明）</w:t>
      </w:r>
    </w:p>
    <w:p w14:paraId="2E13B1B8">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南通通湾旅游开发有限公司金石国际大酒店</w:t>
      </w:r>
      <w:r>
        <w:rPr>
          <w:rFonts w:hint="eastAsia" w:asciiTheme="majorEastAsia" w:hAnsiTheme="majorEastAsia" w:eastAsiaTheme="majorEastAsia" w:cstheme="majorEastAsia"/>
          <w:bCs/>
          <w:sz w:val="24"/>
          <w:szCs w:val="24"/>
        </w:rPr>
        <w:t>：</w:t>
      </w:r>
    </w:p>
    <w:p w14:paraId="602AC8CA">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本授权委托书声明：我</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（姓名）系</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名称）的法定代表人，现授权委托</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（姓名）为我公司被委托受权人，以本公司的名义参加</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项目的</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响应活动。被委托受权人在</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活动、合同谈判过程中所签署的一切文件和处理与之有关的一切事务，我均予以承认。</w:t>
      </w:r>
    </w:p>
    <w:p w14:paraId="4BFEFB9D">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被委托受权人无转委权。特此委托。</w:t>
      </w:r>
    </w:p>
    <w:p w14:paraId="56F82546">
      <w:pPr>
        <w:snapToGrid w:val="0"/>
        <w:spacing w:line="360" w:lineRule="auto"/>
        <w:textAlignment w:val="baseline"/>
        <w:rPr>
          <w:rFonts w:hint="eastAsia" w:asciiTheme="majorEastAsia" w:hAnsiTheme="majorEastAsia" w:eastAsiaTheme="majorEastAsia" w:cstheme="majorEastAsia"/>
          <w:kern w:val="0"/>
          <w:sz w:val="24"/>
          <w:szCs w:val="24"/>
        </w:rPr>
      </w:pPr>
    </w:p>
    <w:p w14:paraId="720FD58C">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法定代表人签字：</w:t>
      </w:r>
    </w:p>
    <w:p w14:paraId="384EFDE3">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被委托受权人身份证号</w:t>
      </w:r>
      <w:r>
        <w:rPr>
          <w:rFonts w:hint="eastAsia" w:asciiTheme="majorEastAsia" w:hAnsiTheme="majorEastAsia" w:eastAsiaTheme="majorEastAsia" w:cstheme="majorEastAsia"/>
          <w:sz w:val="24"/>
          <w:szCs w:val="24"/>
          <w:lang w:val="en-US" w:eastAsia="zh-CN"/>
        </w:rPr>
        <w:t>码</w:t>
      </w:r>
      <w:r>
        <w:rPr>
          <w:rFonts w:hint="eastAsia" w:asciiTheme="majorEastAsia" w:hAnsiTheme="majorEastAsia" w:eastAsiaTheme="majorEastAsia" w:cstheme="majorEastAsia"/>
          <w:sz w:val="24"/>
          <w:szCs w:val="24"/>
        </w:rPr>
        <w:t>：</w:t>
      </w:r>
    </w:p>
    <w:p w14:paraId="10975D8E">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被委托受权人签字：</w:t>
      </w:r>
    </w:p>
    <w:p w14:paraId="4F79C5D1">
      <w:pPr>
        <w:snapToGrid w:val="0"/>
        <w:spacing w:line="360" w:lineRule="auto"/>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被委托受权人</w:t>
      </w:r>
      <w:r>
        <w:rPr>
          <w:rFonts w:hint="eastAsia" w:asciiTheme="majorEastAsia" w:hAnsiTheme="majorEastAsia" w:eastAsiaTheme="majorEastAsia" w:cstheme="majorEastAsia"/>
          <w:sz w:val="24"/>
          <w:szCs w:val="24"/>
          <w:lang w:val="en-US" w:eastAsia="zh-CN"/>
        </w:rPr>
        <w:t>联系方式：</w:t>
      </w:r>
    </w:p>
    <w:p w14:paraId="7DF7C081">
      <w:pPr>
        <w:snapToGrid w:val="0"/>
        <w:spacing w:line="520" w:lineRule="exact"/>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w:t>
      </w:r>
      <w:r>
        <w:rPr>
          <w:rFonts w:hint="eastAsia" w:asciiTheme="majorEastAsia" w:hAnsiTheme="majorEastAsia" w:eastAsiaTheme="majorEastAsia" w:cstheme="majorEastAsia"/>
          <w:sz w:val="24"/>
          <w:szCs w:val="24"/>
        </w:rPr>
        <w:t>单位：（加盖公章）</w:t>
      </w:r>
    </w:p>
    <w:p w14:paraId="60C3D487">
      <w:pPr>
        <w:snapToGrid w:val="0"/>
        <w:spacing w:line="420" w:lineRule="exact"/>
        <w:ind w:firstLine="484" w:firstLineChars="202"/>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p w14:paraId="65602A3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注：提供法定代表人和被委托授权人的身份证正反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面复印件</w:t>
      </w:r>
      <w:r>
        <w:rPr>
          <w:rFonts w:hint="eastAsia" w:asciiTheme="majorEastAsia" w:hAnsiTheme="majorEastAsia" w:eastAsiaTheme="majorEastAsia" w:cstheme="majorEastAsia"/>
          <w:sz w:val="24"/>
          <w:szCs w:val="24"/>
          <w:lang w:val="en-US" w:eastAsia="zh-CN"/>
        </w:rPr>
        <w:t>或扫描件</w:t>
      </w:r>
    </w:p>
    <w:p w14:paraId="4C6453D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4"/>
          <w:szCs w:val="24"/>
          <w:highlight w:val="none"/>
        </w:rPr>
      </w:pPr>
    </w:p>
    <w:p w14:paraId="6166D9EA">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47CE933">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60206EF2">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3E084DB7">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EC9C23D">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2894B031">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72C3DABE">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D626631">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6B6CF23">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2D64C4A4">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12DB7334">
      <w:pPr>
        <w:snapToGrid w:val="0"/>
        <w:spacing w:line="400" w:lineRule="exact"/>
        <w:ind w:left="0" w:leftChars="0" w:firstLine="0" w:firstLineChars="0"/>
        <w:contextualSpacing/>
        <w:rPr>
          <w:rFonts w:hint="eastAsia" w:asciiTheme="majorEastAsia" w:hAnsiTheme="majorEastAsia" w:eastAsiaTheme="majorEastAsia" w:cstheme="majorEastAsia"/>
          <w:b/>
          <w:bCs/>
          <w:kern w:val="0"/>
          <w:sz w:val="32"/>
          <w:szCs w:val="32"/>
          <w:lang w:val="en-US" w:eastAsia="zh-CN"/>
        </w:rPr>
      </w:pPr>
      <w:r>
        <w:rPr>
          <w:rFonts w:hint="eastAsia" w:asciiTheme="majorEastAsia" w:hAnsiTheme="majorEastAsia" w:eastAsiaTheme="majorEastAsia" w:cstheme="majorEastAsia"/>
          <w:b/>
          <w:bCs/>
          <w:kern w:val="0"/>
          <w:sz w:val="32"/>
          <w:szCs w:val="32"/>
        </w:rPr>
        <w:t>附件</w:t>
      </w:r>
      <w:r>
        <w:rPr>
          <w:rFonts w:hint="eastAsia" w:asciiTheme="majorEastAsia" w:hAnsiTheme="majorEastAsia" w:eastAsiaTheme="majorEastAsia" w:cstheme="majorEastAsia"/>
          <w:b/>
          <w:bCs/>
          <w:kern w:val="0"/>
          <w:sz w:val="32"/>
          <w:szCs w:val="32"/>
          <w:lang w:val="en-US" w:eastAsia="zh-CN"/>
        </w:rPr>
        <w:t>3</w:t>
      </w:r>
    </w:p>
    <w:p w14:paraId="46D71C8C">
      <w:pPr>
        <w:snapToGrid w:val="0"/>
        <w:spacing w:line="300" w:lineRule="auto"/>
        <w:ind w:firstLine="643"/>
        <w:contextualSpacing/>
        <w:jc w:val="center"/>
        <w:rPr>
          <w:rFonts w:hint="eastAsia" w:asciiTheme="majorEastAsia" w:hAnsiTheme="majorEastAsia" w:eastAsiaTheme="majorEastAsia" w:cstheme="majorEastAsia"/>
          <w:b/>
          <w:sz w:val="32"/>
          <w:szCs w:val="32"/>
        </w:rPr>
      </w:pPr>
    </w:p>
    <w:p w14:paraId="0FC6DD00">
      <w:pPr>
        <w:snapToGrid w:val="0"/>
        <w:spacing w:line="300" w:lineRule="auto"/>
        <w:ind w:firstLine="643"/>
        <w:contextualSpacing/>
        <w:jc w:val="center"/>
        <w:rPr>
          <w:rFonts w:hint="eastAsia" w:asciiTheme="majorEastAsia" w:hAnsiTheme="majorEastAsia" w:eastAsiaTheme="majorEastAsia" w:cstheme="majorEastAsia"/>
          <w:b/>
          <w:sz w:val="32"/>
          <w:szCs w:val="32"/>
        </w:rPr>
      </w:pPr>
    </w:p>
    <w:p w14:paraId="48962270">
      <w:pPr>
        <w:snapToGrid w:val="0"/>
        <w:spacing w:line="300" w:lineRule="auto"/>
        <w:ind w:firstLine="643"/>
        <w:contextualSpacing/>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投标响应报价总表</w:t>
      </w:r>
    </w:p>
    <w:tbl>
      <w:tblPr>
        <w:tblStyle w:val="6"/>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7375"/>
      </w:tblGrid>
      <w:tr w14:paraId="6F6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0B55D931">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项目名称</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A8B1C5E">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p w14:paraId="0126FA03">
            <w:pPr>
              <w:snapToGrid w:val="0"/>
              <w:spacing w:line="420" w:lineRule="exact"/>
              <w:ind w:left="2" w:firstLine="482"/>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南通通湾旅游开发有限公司金石国际大酒店中南厅扩音改造项目</w:t>
            </w:r>
          </w:p>
          <w:p w14:paraId="4CC62061">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tc>
      </w:tr>
      <w:tr w14:paraId="7ED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F9090EC">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投标总报价</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EBFB5C3">
            <w:pPr>
              <w:snapToGrid w:val="0"/>
              <w:spacing w:line="420" w:lineRule="exact"/>
              <w:ind w:firstLine="480" w:firstLineChars="200"/>
              <w:jc w:val="both"/>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人民币：</w:t>
            </w:r>
            <w:bookmarkStart w:id="15" w:name="OLE_LINK296"/>
            <w:bookmarkStart w:id="16" w:name="OLE_LINK295"/>
            <w:r>
              <w:rPr>
                <w:rFonts w:hint="eastAsia" w:asciiTheme="majorEastAsia" w:hAnsiTheme="majorEastAsia" w:eastAsiaTheme="majorEastAsia" w:cstheme="majorEastAsia"/>
                <w:color w:val="auto"/>
                <w:sz w:val="24"/>
                <w:highlight w:val="none"/>
                <w:lang w:val="en-US" w:eastAsia="zh-CN"/>
              </w:rPr>
              <w:t xml:space="preserve">大写           </w:t>
            </w:r>
            <w:bookmarkEnd w:id="15"/>
            <w:bookmarkEnd w:id="16"/>
            <w:r>
              <w:rPr>
                <w:rFonts w:hint="eastAsia" w:asciiTheme="majorEastAsia" w:hAnsiTheme="majorEastAsia" w:eastAsiaTheme="majorEastAsia" w:cstheme="majorEastAsia"/>
                <w:color w:val="auto"/>
                <w:sz w:val="24"/>
                <w:highlight w:val="none"/>
                <w:lang w:val="en-US" w:eastAsia="zh-CN"/>
              </w:rPr>
              <w:t>，小写         元，税率      %</w:t>
            </w:r>
          </w:p>
        </w:tc>
      </w:tr>
      <w:tr w14:paraId="07FA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04F4350">
            <w:pPr>
              <w:snapToGrid w:val="0"/>
              <w:spacing w:line="420" w:lineRule="exact"/>
              <w:ind w:left="2" w:firstLine="482"/>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付款条件</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926D4C2">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bookmarkStart w:id="17" w:name="OLE_LINK292"/>
            <w:bookmarkStart w:id="18" w:name="OLE_LINK291"/>
            <w:r>
              <w:rPr>
                <w:rFonts w:hint="eastAsia" w:asciiTheme="majorEastAsia" w:hAnsiTheme="majorEastAsia" w:eastAsiaTheme="majorEastAsia" w:cstheme="majorEastAsia"/>
                <w:color w:val="auto"/>
                <w:sz w:val="24"/>
                <w:highlight w:val="none"/>
                <w:lang w:val="en-US" w:eastAsia="zh-CN"/>
              </w:rPr>
              <w:t>完全接受并响应本项目招标文件的要求。</w:t>
            </w:r>
            <w:bookmarkEnd w:id="17"/>
            <w:bookmarkEnd w:id="18"/>
          </w:p>
        </w:tc>
      </w:tr>
    </w:tbl>
    <w:p w14:paraId="581BEAEE">
      <w:pPr>
        <w:snapToGrid w:val="0"/>
        <w:spacing w:line="36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注：1、本表为格式表，不得改动，必须提供。</w:t>
      </w:r>
    </w:p>
    <w:p w14:paraId="22CE550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报价</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全部费用以及企业利润、税金及和政策性文件规定及合同包含的所有风险、责任等各项应有费用。</w:t>
      </w:r>
    </w:p>
    <w:p w14:paraId="45EE9788">
      <w:pPr>
        <w:snapToGrid w:val="0"/>
        <w:spacing w:line="600" w:lineRule="auto"/>
        <w:ind w:firstLine="439" w:firstLineChars="183"/>
        <w:contextualSpacing/>
        <w:rPr>
          <w:rFonts w:hint="eastAsia" w:asciiTheme="majorEastAsia" w:hAnsiTheme="majorEastAsia" w:eastAsiaTheme="majorEastAsia" w:cstheme="majorEastAsia"/>
          <w:kern w:val="0"/>
          <w:sz w:val="24"/>
        </w:rPr>
      </w:pPr>
    </w:p>
    <w:p w14:paraId="6F26E8E2">
      <w:pPr>
        <w:snapToGrid w:val="0"/>
        <w:spacing w:line="600" w:lineRule="auto"/>
        <w:ind w:firstLine="439" w:firstLineChars="183"/>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供应商：（盖章）</w:t>
      </w:r>
    </w:p>
    <w:p w14:paraId="5F6F38FD">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法定代表人或被委托受权人（签字）：</w:t>
      </w:r>
    </w:p>
    <w:p w14:paraId="660AFA13">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日  期：</w:t>
      </w:r>
    </w:p>
    <w:p w14:paraId="785F6271"/>
    <w:p w14:paraId="13A7D693"/>
    <w:p w14:paraId="7D6D5489"/>
    <w:p w14:paraId="23424EF1"/>
    <w:sectPr>
      <w:pgSz w:w="11906" w:h="16838"/>
      <w:pgMar w:top="1803" w:right="1440" w:bottom="1803"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7BB64"/>
    <w:multiLevelType w:val="singleLevel"/>
    <w:tmpl w:val="93D7BB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57DD2"/>
    <w:rsid w:val="3FCD6440"/>
    <w:rsid w:val="4F6B59C1"/>
    <w:rsid w:val="5B7C2614"/>
    <w:rsid w:val="608A7C71"/>
    <w:rsid w:val="7465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Body Text"/>
    <w:basedOn w:val="1"/>
    <w:qFormat/>
    <w:uiPriority w:val="0"/>
    <w:rPr>
      <w:rFonts w:ascii="仿宋_GB2312" w:eastAsia="仿宋_GB2312"/>
      <w:kern w:val="0"/>
      <w:sz w:val="24"/>
      <w:szCs w:val="20"/>
    </w:rPr>
  </w:style>
  <w:style w:type="paragraph" w:styleId="5">
    <w:name w:val="Normal (Web)"/>
    <w:basedOn w:val="1"/>
    <w:semiHidden/>
    <w:unhideWhenUsed/>
    <w:qFormat/>
    <w:uiPriority w:val="99"/>
    <w:rPr>
      <w:sz w:val="24"/>
    </w:rPr>
  </w:style>
  <w:style w:type="paragraph" w:customStyle="1" w:styleId="8">
    <w:name w:val="合同正文"/>
    <w:basedOn w:val="1"/>
    <w:next w:val="1"/>
    <w:qFormat/>
    <w:uiPriority w:val="0"/>
    <w:pPr>
      <w:spacing w:before="0" w:after="0" w:line="360" w:lineRule="auto"/>
      <w:ind w:firstLine="480"/>
    </w:pPr>
    <w:rPr>
      <w:szCs w:val="20"/>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4749</Words>
  <Characters>5261</Characters>
  <Lines>0</Lines>
  <Paragraphs>0</Paragraphs>
  <TotalTime>20</TotalTime>
  <ScaleCrop>false</ScaleCrop>
  <LinksUpToDate>false</LinksUpToDate>
  <CharactersWithSpaces>5882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2025-08-17T06:36:00Z</dcterms:created>
  <dc:creator>Riou</dc:creator>
  <cp:lastModifiedBy>G____</cp:lastModifiedBy>
  <dcterms:modified xsi:type="dcterms:W3CDTF">2025-08-22T05:34:08Z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BAAF83BF0636423CB4938597968307BA_12</vt:lpwstr>
  </property>
</Properties>
</file>