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27268">
      <w:pPr>
        <w:keepNext w:val="0"/>
        <w:keepLines w:val="0"/>
        <w:pageBreakBefore w:val="0"/>
        <w:widowControl w:val="0"/>
        <w:kinsoku/>
        <w:wordWrap/>
        <w:overflowPunct/>
        <w:topLinePunct w:val="0"/>
        <w:autoSpaceDE/>
        <w:autoSpaceDN/>
        <w:bidi w:val="0"/>
        <w:snapToGrid/>
        <w:spacing w:line="590" w:lineRule="exact"/>
        <w:jc w:val="both"/>
        <w:rPr>
          <w:rFonts w:hint="default" w:ascii="方正小标宋简体" w:hAnsi="方正小标宋简体" w:eastAsia="方正小标宋简体" w:cs="方正小标宋简体"/>
          <w:b/>
          <w:sz w:val="40"/>
          <w:szCs w:val="40"/>
          <w:lang w:val="en-US" w:eastAsia="zh-CN"/>
        </w:rPr>
      </w:pPr>
      <w:r>
        <w:rPr>
          <w:rFonts w:hint="eastAsia" w:ascii="方正小标宋简体" w:hAnsi="方正小标宋简体" w:eastAsia="方正小标宋简体" w:cs="方正小标宋简体"/>
          <w:b/>
          <w:sz w:val="40"/>
          <w:szCs w:val="40"/>
          <w:lang w:val="en-US" w:eastAsia="zh-CN"/>
        </w:rPr>
        <w:t>附件：</w:t>
      </w:r>
    </w:p>
    <w:p w14:paraId="485696DB">
      <w:pPr>
        <w:keepNext w:val="0"/>
        <w:keepLines w:val="0"/>
        <w:pageBreakBefore w:val="0"/>
        <w:widowControl w:val="0"/>
        <w:kinsoku/>
        <w:wordWrap/>
        <w:overflowPunct/>
        <w:topLinePunct w:val="0"/>
        <w:autoSpaceDE/>
        <w:autoSpaceDN/>
        <w:bidi w:val="0"/>
        <w:snapToGrid/>
        <w:spacing w:line="590" w:lineRule="exact"/>
        <w:jc w:val="center"/>
        <w:rPr>
          <w:rFonts w:hint="eastAsia" w:ascii="方正小标宋简体" w:hAnsi="方正小标宋简体" w:eastAsia="方正小标宋简体" w:cs="方正小标宋简体"/>
          <w:b/>
          <w:sz w:val="40"/>
          <w:szCs w:val="40"/>
        </w:rPr>
      </w:pPr>
      <w:bookmarkStart w:id="3" w:name="_GoBack"/>
      <w:r>
        <w:rPr>
          <w:rFonts w:hint="eastAsia" w:ascii="方正小标宋简体" w:hAnsi="方正小标宋简体" w:eastAsia="方正小标宋简体" w:cs="方正小标宋简体"/>
          <w:b/>
          <w:sz w:val="40"/>
          <w:szCs w:val="40"/>
          <w:lang w:eastAsia="zh-CN"/>
        </w:rPr>
        <w:t>可调式减压阀技术要求</w:t>
      </w:r>
    </w:p>
    <w:bookmarkEnd w:id="3"/>
    <w:p w14:paraId="25C1CAB3">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kern w:val="2"/>
          <w:sz w:val="32"/>
          <w:szCs w:val="32"/>
          <w:lang w:val="en-US" w:eastAsia="zh-TW" w:bidi="ar-SA"/>
        </w:rPr>
      </w:pPr>
    </w:p>
    <w:p w14:paraId="73231D8A">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r>
        <w:rPr>
          <w:rFonts w:hint="eastAsia" w:ascii="黑体" w:hAnsi="黑体" w:eastAsia="黑体" w:cs="黑体"/>
          <w:b w:val="0"/>
          <w:bCs/>
          <w:kern w:val="2"/>
          <w:sz w:val="32"/>
          <w:szCs w:val="32"/>
          <w:lang w:val="en-US" w:eastAsia="zh-TW" w:bidi="ar-SA"/>
        </w:rPr>
        <w:t>一、</w:t>
      </w:r>
      <w:r>
        <w:rPr>
          <w:rFonts w:hint="eastAsia" w:ascii="黑体" w:hAnsi="黑体" w:eastAsia="黑体" w:cs="黑体"/>
          <w:b w:val="0"/>
          <w:bCs/>
          <w:sz w:val="32"/>
          <w:szCs w:val="32"/>
        </w:rPr>
        <w:t>用途：</w:t>
      </w:r>
    </w:p>
    <w:p w14:paraId="64EA810E">
      <w:pPr>
        <w:keepNext w:val="0"/>
        <w:keepLines w:val="0"/>
        <w:pageBreakBefore w:val="0"/>
        <w:widowControl w:val="0"/>
        <w:kinsoku/>
        <w:wordWrap/>
        <w:overflowPunct/>
        <w:topLinePunct w:val="0"/>
        <w:autoSpaceDE/>
        <w:autoSpaceDN/>
        <w:bidi w:val="0"/>
        <w:adjustRightInd w:val="0"/>
        <w:snapToGrid/>
        <w:spacing w:line="590" w:lineRule="exact"/>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eastAsia="zh-CN"/>
        </w:rPr>
        <w:t>减压阀安装于送输配水管网中</w:t>
      </w:r>
      <w:r>
        <w:rPr>
          <w:rFonts w:hint="eastAsia" w:ascii="仿宋_GB2312" w:hAnsi="仿宋_GB2312" w:eastAsia="仿宋_GB2312" w:cs="仿宋_GB2312"/>
          <w:sz w:val="32"/>
          <w:szCs w:val="32"/>
          <w:lang w:eastAsia="zh-CN"/>
        </w:rPr>
        <w:t>，恒定阀后端出口压力﹐用以保护主阀下游安全供水压力。</w:t>
      </w:r>
    </w:p>
    <w:p w14:paraId="1365E1D6">
      <w:pPr>
        <w:keepNext w:val="0"/>
        <w:keepLines w:val="0"/>
        <w:pageBreakBefore w:val="0"/>
        <w:widowControl w:val="0"/>
        <w:kinsoku/>
        <w:wordWrap/>
        <w:overflowPunct/>
        <w:topLinePunct w:val="0"/>
        <w:autoSpaceDE/>
        <w:autoSpaceDN/>
        <w:bidi w:val="0"/>
        <w:adjustRightInd w:val="0"/>
        <w:snapToGrid/>
        <w:spacing w:line="590" w:lineRule="exact"/>
        <w:ind w:firstLine="640" w:firstLineChars="200"/>
        <w:jc w:val="both"/>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eastAsia="zh-CN"/>
        </w:rPr>
        <w:t>减压阀主阀出口压力可任意设定安全压力，并不会因上游压力或下游用水量变化而变化，保证满足下游客户端的压力要求</w:t>
      </w:r>
      <w:r>
        <w:rPr>
          <w:rFonts w:hint="eastAsia" w:ascii="仿宋_GB2312" w:hAnsi="仿宋_GB2312" w:eastAsia="仿宋_GB2312" w:cs="仿宋_GB2312"/>
          <w:sz w:val="32"/>
          <w:szCs w:val="32"/>
          <w:lang w:eastAsia="zh-CN"/>
        </w:rPr>
        <w:t>。</w:t>
      </w:r>
    </w:p>
    <w:p w14:paraId="458D6548">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r>
        <w:rPr>
          <w:rFonts w:hint="eastAsia" w:ascii="黑体" w:hAnsi="黑体" w:eastAsia="黑体" w:cs="黑体"/>
          <w:b w:val="0"/>
          <w:bCs/>
          <w:kern w:val="2"/>
          <w:sz w:val="32"/>
          <w:szCs w:val="32"/>
          <w:lang w:val="en-US" w:eastAsia="zh-TW" w:bidi="ar-SA"/>
        </w:rPr>
        <w:t>二、</w:t>
      </w:r>
      <w:r>
        <w:rPr>
          <w:rFonts w:hint="eastAsia" w:ascii="黑体" w:hAnsi="黑体" w:eastAsia="黑体" w:cs="黑体"/>
          <w:b w:val="0"/>
          <w:bCs/>
          <w:sz w:val="32"/>
          <w:szCs w:val="32"/>
        </w:rPr>
        <w:t>依据标准：</w:t>
      </w:r>
    </w:p>
    <w:p w14:paraId="4539ADE6">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生产供货产品应符合CJ/T 256《分体先导式减压稳压阀》最新版本中所有规定。</w:t>
      </w:r>
    </w:p>
    <w:p w14:paraId="3C159AE1">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r>
        <w:rPr>
          <w:rFonts w:hint="eastAsia" w:ascii="黑体" w:hAnsi="黑体" w:eastAsia="黑体" w:cs="黑体"/>
          <w:b w:val="0"/>
          <w:bCs/>
          <w:kern w:val="2"/>
          <w:sz w:val="32"/>
          <w:szCs w:val="32"/>
          <w:lang w:val="en-US" w:eastAsia="zh-TW" w:bidi="ar-SA"/>
        </w:rPr>
        <w:t>三、</w:t>
      </w:r>
      <w:r>
        <w:rPr>
          <w:rFonts w:hint="eastAsia" w:ascii="黑体" w:hAnsi="黑体" w:eastAsia="黑体" w:cs="黑体"/>
          <w:b w:val="0"/>
          <w:bCs/>
          <w:sz w:val="32"/>
          <w:szCs w:val="32"/>
        </w:rPr>
        <w:t>结构及性能要求：</w:t>
      </w:r>
    </w:p>
    <w:p w14:paraId="38B50813">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FF0000"/>
          <w:sz w:val="32"/>
          <w:szCs w:val="32"/>
          <w:lang w:eastAsia="zh-CN"/>
        </w:rPr>
        <w:t>★</w:t>
      </w:r>
      <w:r>
        <w:rPr>
          <w:rFonts w:hint="eastAsia" w:ascii="仿宋_GB2312" w:hAnsi="仿宋_GB2312" w:eastAsia="仿宋_GB2312" w:cs="仿宋_GB2312"/>
          <w:sz w:val="32"/>
          <w:szCs w:val="32"/>
          <w:lang w:eastAsia="zh-CN"/>
        </w:rPr>
        <w:t>减压阀的主阀结构形式应为T型垂直上下动作之水力操作式阀体，介由双导盘活塞与隔膜操作，同时利用减压先导阀（pilot  valve）可任意调节所需出口端安全压力。</w:t>
      </w:r>
    </w:p>
    <w:p w14:paraId="79394264">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出口压力设定范围：</w:t>
      </w:r>
      <w:r>
        <w:rPr>
          <w:rFonts w:hint="eastAsia" w:ascii="仿宋_GB2312" w:hAnsi="仿宋_GB2312" w:eastAsia="仿宋_GB2312" w:cs="仿宋_GB2312"/>
          <w:color w:val="FF0000"/>
          <w:sz w:val="32"/>
          <w:szCs w:val="32"/>
          <w:u w:val="single"/>
          <w:lang w:eastAsia="zh-CN"/>
        </w:rPr>
        <w:t xml:space="preserve">    </w:t>
      </w:r>
      <w:r>
        <w:rPr>
          <w:rFonts w:hint="eastAsia" w:ascii="仿宋_GB2312" w:hAnsi="仿宋_GB2312" w:eastAsia="仿宋_GB2312" w:cs="仿宋_GB2312"/>
          <w:sz w:val="32"/>
          <w:szCs w:val="32"/>
          <w:lang w:eastAsia="zh-CN"/>
        </w:rPr>
        <w:t>MPa～</w:t>
      </w:r>
      <w:r>
        <w:rPr>
          <w:rFonts w:hint="eastAsia" w:ascii="仿宋_GB2312" w:hAnsi="仿宋_GB2312" w:eastAsia="仿宋_GB2312" w:cs="仿宋_GB2312"/>
          <w:color w:val="FF0000"/>
          <w:sz w:val="32"/>
          <w:szCs w:val="32"/>
          <w:u w:val="single"/>
          <w:lang w:eastAsia="zh-CN"/>
        </w:rPr>
        <w:t xml:space="preserve">    </w:t>
      </w:r>
      <w:r>
        <w:rPr>
          <w:rFonts w:hint="eastAsia" w:ascii="仿宋_GB2312" w:hAnsi="仿宋_GB2312" w:eastAsia="仿宋_GB2312" w:cs="仿宋_GB2312"/>
          <w:sz w:val="32"/>
          <w:szCs w:val="32"/>
          <w:lang w:eastAsia="zh-CN"/>
        </w:rPr>
        <w:t>MPa</w:t>
      </w:r>
    </w:p>
    <w:p w14:paraId="3DF22BCE">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本减压阀装设于管线当中，以水力自动调节，当设定好阀后端压力时，将不受阀前端压力波动而变化，也不因阀后用水量波动而变化，保证阀后端压力在恒定设定值上，以保护阀后端管线的安全。</w:t>
      </w:r>
    </w:p>
    <w:p w14:paraId="5E4DEC70">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必要时可以人工手动操作全开或全关。</w:t>
      </w:r>
    </w:p>
    <w:p w14:paraId="6C88DAE7">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r>
        <w:rPr>
          <w:rFonts w:hint="eastAsia" w:ascii="黑体" w:hAnsi="黑体" w:eastAsia="黑体" w:cs="黑体"/>
          <w:b w:val="0"/>
          <w:bCs/>
          <w:kern w:val="2"/>
          <w:sz w:val="32"/>
          <w:szCs w:val="32"/>
          <w:lang w:val="en-US" w:eastAsia="zh-TW" w:bidi="ar-SA"/>
        </w:rPr>
        <w:t>四、</w:t>
      </w:r>
      <w:r>
        <w:rPr>
          <w:rFonts w:hint="eastAsia" w:ascii="黑体" w:hAnsi="黑体" w:eastAsia="黑体" w:cs="黑体"/>
          <w:b w:val="0"/>
          <w:bCs/>
          <w:sz w:val="32"/>
          <w:szCs w:val="32"/>
        </w:rPr>
        <w:t>材质要求：</w:t>
      </w:r>
    </w:p>
    <w:p w14:paraId="674CCD70">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阀体及阀盖:球墨铸鈇(QT450-10)；应符合 GB/ 12227《通用阀门 球墨铸铁件技术条件》最新版本的要求。</w:t>
      </w:r>
    </w:p>
    <w:p w14:paraId="74C32B15">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双导盘活塞:铝青铜(ZCuAllOFe3)；应符合GB/T 12225《通用阀门 铜合金铸件技术条件》最新版本的要求。</w:t>
      </w:r>
    </w:p>
    <w:p w14:paraId="7E58AF66">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球墨铸鈇(QT450-10)；应符合 GB/ 12227《通用阀门 球墨铸铁件技术条件》最新版本的要求。</w:t>
      </w:r>
    </w:p>
    <w:p w14:paraId="226AB899">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隔      膜:强化尼龙帘布+橡胶(NBR/CR/EPDM)。</w:t>
      </w:r>
    </w:p>
    <w:p w14:paraId="7338821F">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活  塞  杆:不锈钢(</w:t>
      </w:r>
      <w:bookmarkStart w:id="0" w:name="_Hlk48552774"/>
      <w:r>
        <w:rPr>
          <w:rFonts w:hint="eastAsia" w:ascii="仿宋_GB2312" w:hAnsi="仿宋_GB2312" w:eastAsia="仿宋_GB2312" w:cs="仿宋_GB2312"/>
          <w:sz w:val="32"/>
          <w:szCs w:val="32"/>
          <w:lang w:eastAsia="zh-CN"/>
        </w:rPr>
        <w:t>06Cr19Ni10</w:t>
      </w:r>
      <w:bookmarkEnd w:id="0"/>
      <w:r>
        <w:rPr>
          <w:rFonts w:hint="eastAsia" w:ascii="仿宋_GB2312" w:hAnsi="仿宋_GB2312" w:eastAsia="仿宋_GB2312" w:cs="仿宋_GB2312"/>
          <w:sz w:val="32"/>
          <w:szCs w:val="32"/>
          <w:lang w:eastAsia="zh-CN"/>
        </w:rPr>
        <w:t>或14Cr17Ni2)；应符合GB/T 1220《不锈钢棒》最新版本的要求。</w:t>
      </w:r>
    </w:p>
    <w:p w14:paraId="6239D611">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阀      座:不锈钢(</w:t>
      </w:r>
      <w:bookmarkStart w:id="1" w:name="_Hlk48561259"/>
      <w:r>
        <w:rPr>
          <w:rFonts w:hint="eastAsia" w:ascii="仿宋_GB2312" w:hAnsi="仿宋_GB2312" w:eastAsia="仿宋_GB2312" w:cs="仿宋_GB2312"/>
          <w:sz w:val="32"/>
          <w:szCs w:val="32"/>
          <w:lang w:eastAsia="zh-CN"/>
        </w:rPr>
        <w:t>06Cr19Ni10</w:t>
      </w:r>
      <w:bookmarkEnd w:id="1"/>
      <w:r>
        <w:rPr>
          <w:rFonts w:hint="eastAsia" w:ascii="仿宋_GB2312" w:hAnsi="仿宋_GB2312" w:eastAsia="仿宋_GB2312" w:cs="仿宋_GB2312"/>
          <w:sz w:val="32"/>
          <w:szCs w:val="32"/>
          <w:lang w:eastAsia="zh-CN"/>
        </w:rPr>
        <w:t>)；应符合GB/T 20878《不锈钢和耐热钢 牌号及化学成分》最新版本的要求。</w:t>
      </w:r>
    </w:p>
    <w:p w14:paraId="5FD64222">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铝青铜(ZCuAllOFe3)；应符合GB/T 12225《通用阀门 铜合金铸件技术条件》最新版本的要求。</w:t>
      </w:r>
    </w:p>
    <w:p w14:paraId="39B40B23">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其座与主阀内缘接触面在完成组合后,对各项操作应力,水流冲力均不致造成松脱及对本阀之垂直上下运动作相应的支撑且不易卡阻。</w:t>
      </w:r>
    </w:p>
    <w:p w14:paraId="3B04B97F">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减压先导阀:组件为不锈钢(06Cr19Ni10), 应符合GB/T12230 最新版本的要求,经由此阀可控制主阀后的压力恒定在设定值。</w:t>
      </w:r>
    </w:p>
    <w:p w14:paraId="3F4D194D">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针      阀: 不锈钢 (CF8)外壳,不锈钢针，并可外部调节针阀开度。</w:t>
      </w:r>
    </w:p>
    <w:p w14:paraId="7229D031">
      <w:pPr>
        <w:keepNext w:val="0"/>
        <w:keepLines w:val="0"/>
        <w:pageBreakBefore w:val="0"/>
        <w:widowControl w:val="0"/>
        <w:kinsoku/>
        <w:wordWrap/>
        <w:overflowPunct/>
        <w:topLinePunct w:val="0"/>
        <w:autoSpaceDE/>
        <w:autoSpaceDN/>
        <w:bidi w:val="0"/>
        <w:snapToGrid/>
        <w:spacing w:line="59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配  管： 外部配管上零部件为不锈钢304。</w:t>
      </w:r>
    </w:p>
    <w:p w14:paraId="1A3A214D">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bookmarkStart w:id="2" w:name="_Hlk40704006"/>
      <w:r>
        <w:rPr>
          <w:rFonts w:hint="eastAsia" w:ascii="黑体" w:hAnsi="黑体" w:eastAsia="黑体" w:cs="黑体"/>
          <w:b w:val="0"/>
          <w:bCs/>
          <w:kern w:val="2"/>
          <w:sz w:val="32"/>
          <w:szCs w:val="32"/>
          <w:lang w:val="en-US" w:eastAsia="zh-TW" w:bidi="ar-SA"/>
        </w:rPr>
        <w:t>五、</w:t>
      </w:r>
      <w:r>
        <w:rPr>
          <w:rFonts w:hint="eastAsia" w:ascii="黑体" w:hAnsi="黑体" w:eastAsia="黑体" w:cs="黑体"/>
          <w:b w:val="0"/>
          <w:bCs/>
          <w:sz w:val="32"/>
          <w:szCs w:val="32"/>
        </w:rPr>
        <w:t>防腐要求：</w:t>
      </w:r>
    </w:p>
    <w:p w14:paraId="431C5280">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除橡胶、铜及不锈钢外，阀体、阀瓣等铸件在完全除锈、除水及气体之后内外表面均需以符合中国国家标准的卫生级无毒环氧树脂粉末涂敷（静电喷涂烧结法）。</w:t>
      </w:r>
    </w:p>
    <w:p w14:paraId="3095D5F0">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涂层光滑均匀无缺陷，涂料干后不溶解于水，不影响水质，并不因为空气温度变化而分解。</w:t>
      </w:r>
    </w:p>
    <w:p w14:paraId="7F3D1F11">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涂层固化后不得溶解于水，不应影响水质,除配合面外，内表面涂装厚度应不小于250μm,外表面涂装厚度应不小于150μm。</w:t>
      </w:r>
    </w:p>
    <w:p w14:paraId="66DDC8EF">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r>
        <w:rPr>
          <w:rFonts w:hint="eastAsia" w:ascii="黑体" w:hAnsi="黑体" w:eastAsia="黑体" w:cs="黑体"/>
          <w:b w:val="0"/>
          <w:bCs/>
          <w:kern w:val="2"/>
          <w:sz w:val="32"/>
          <w:szCs w:val="32"/>
          <w:lang w:val="en-US" w:eastAsia="zh-TW" w:bidi="ar-SA"/>
        </w:rPr>
        <w:t>六、</w:t>
      </w:r>
      <w:r>
        <w:rPr>
          <w:rFonts w:hint="eastAsia" w:ascii="黑体" w:hAnsi="黑体" w:eastAsia="黑体" w:cs="黑体"/>
          <w:b w:val="0"/>
          <w:bCs/>
          <w:sz w:val="32"/>
          <w:szCs w:val="32"/>
        </w:rPr>
        <w:t>检验：</w:t>
      </w:r>
    </w:p>
    <w:p w14:paraId="6572591B">
      <w:pPr>
        <w:keepNext w:val="0"/>
        <w:keepLines w:val="0"/>
        <w:pageBreakBefore w:val="0"/>
        <w:widowControl w:val="0"/>
        <w:kinsoku/>
        <w:wordWrap/>
        <w:overflowPunct/>
        <w:topLinePunct w:val="0"/>
        <w:autoSpaceDE/>
        <w:autoSpaceDN/>
        <w:bidi w:val="0"/>
        <w:snapToGrid/>
        <w:spacing w:line="590" w:lineRule="exact"/>
        <w:ind w:firstLine="643" w:firstLineChars="200"/>
        <w:jc w:val="both"/>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严格按照 GB/T 13927-2008《通用阀门 压力试验》最新版本的要求。</w:t>
      </w:r>
    </w:p>
    <w:p w14:paraId="6ED14A4E">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每台阀门出厂前都必须经过严格的外观检验及压力试验。</w:t>
      </w:r>
    </w:p>
    <w:p w14:paraId="6E1C88F2">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1、壳体试验：试验压力至少是阀门允许最大工作压力的1.5倍；试验时不应有结构损伤，不允许有明显可见液滴、表面潮湿或可见渗漏通过阀门壳壁或任何阀体连接处。</w:t>
      </w:r>
    </w:p>
    <w:p w14:paraId="57BE9A6F">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2、密封试验：试验压力至少是阀门允许最大工作压力的1.1倍；试验时不允许有可见液体通过阀瓣、阀座背面与阀体接触面等处，并应无结构损伤。</w:t>
      </w:r>
    </w:p>
    <w:p w14:paraId="4DA6D6CE">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p>
    <w:tbl>
      <w:tblPr>
        <w:tblStyle w:val="4"/>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3"/>
        <w:gridCol w:w="3312"/>
        <w:gridCol w:w="3253"/>
      </w:tblGrid>
      <w:tr w14:paraId="2C04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2103" w:type="dxa"/>
            <w:vMerge w:val="restart"/>
            <w:shd w:val="clear" w:color="auto" w:fill="auto"/>
            <w:vAlign w:val="center"/>
          </w:tcPr>
          <w:p w14:paraId="46376B2B">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阀门公称尺寸</w:t>
            </w:r>
          </w:p>
        </w:tc>
        <w:tc>
          <w:tcPr>
            <w:tcW w:w="6565" w:type="dxa"/>
            <w:gridSpan w:val="2"/>
            <w:shd w:val="clear" w:color="auto" w:fill="auto"/>
            <w:vAlign w:val="center"/>
          </w:tcPr>
          <w:p w14:paraId="5717181A">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保持试验压力最短持续时间(单位:秒)</w:t>
            </w:r>
          </w:p>
        </w:tc>
      </w:tr>
      <w:tr w14:paraId="0952E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103" w:type="dxa"/>
            <w:vMerge w:val="continue"/>
            <w:shd w:val="clear" w:color="auto" w:fill="auto"/>
            <w:vAlign w:val="center"/>
          </w:tcPr>
          <w:p w14:paraId="4404AA4F">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lang w:eastAsia="zh-CN"/>
              </w:rPr>
            </w:pPr>
          </w:p>
        </w:tc>
        <w:tc>
          <w:tcPr>
            <w:tcW w:w="3312" w:type="dxa"/>
            <w:shd w:val="clear" w:color="auto" w:fill="auto"/>
            <w:vAlign w:val="center"/>
          </w:tcPr>
          <w:p w14:paraId="02067E3B">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壳体试验</w:t>
            </w:r>
          </w:p>
        </w:tc>
        <w:tc>
          <w:tcPr>
            <w:tcW w:w="3253" w:type="dxa"/>
            <w:shd w:val="clear" w:color="auto" w:fill="auto"/>
            <w:vAlign w:val="center"/>
          </w:tcPr>
          <w:p w14:paraId="4E2555A1">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密封试验</w:t>
            </w:r>
          </w:p>
        </w:tc>
      </w:tr>
      <w:tr w14:paraId="0A5F9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03" w:type="dxa"/>
            <w:shd w:val="clear" w:color="auto" w:fill="auto"/>
            <w:vAlign w:val="center"/>
          </w:tcPr>
          <w:p w14:paraId="4C083EEE">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xml:space="preserve">≤DN50 </w:t>
            </w:r>
          </w:p>
        </w:tc>
        <w:tc>
          <w:tcPr>
            <w:tcW w:w="3312" w:type="dxa"/>
            <w:shd w:val="clear" w:color="auto" w:fill="auto"/>
            <w:vAlign w:val="center"/>
          </w:tcPr>
          <w:p w14:paraId="73630D38">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15</w:t>
            </w:r>
          </w:p>
        </w:tc>
        <w:tc>
          <w:tcPr>
            <w:tcW w:w="3253" w:type="dxa"/>
            <w:shd w:val="clear" w:color="auto" w:fill="auto"/>
            <w:vAlign w:val="center"/>
          </w:tcPr>
          <w:p w14:paraId="39FF189A">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60</w:t>
            </w:r>
          </w:p>
        </w:tc>
      </w:tr>
      <w:tr w14:paraId="65A8B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03" w:type="dxa"/>
            <w:shd w:val="clear" w:color="auto" w:fill="auto"/>
            <w:vAlign w:val="center"/>
          </w:tcPr>
          <w:p w14:paraId="1142AEE3">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DN65~DN150</w:t>
            </w:r>
          </w:p>
        </w:tc>
        <w:tc>
          <w:tcPr>
            <w:tcW w:w="3312" w:type="dxa"/>
            <w:shd w:val="clear" w:color="auto" w:fill="auto"/>
            <w:vAlign w:val="center"/>
          </w:tcPr>
          <w:p w14:paraId="463BEBD8">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60</w:t>
            </w:r>
          </w:p>
        </w:tc>
        <w:tc>
          <w:tcPr>
            <w:tcW w:w="3253" w:type="dxa"/>
            <w:shd w:val="clear" w:color="auto" w:fill="auto"/>
            <w:vAlign w:val="center"/>
          </w:tcPr>
          <w:p w14:paraId="03D38BD9">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60</w:t>
            </w:r>
          </w:p>
        </w:tc>
      </w:tr>
      <w:tr w14:paraId="6CF11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03" w:type="dxa"/>
            <w:shd w:val="clear" w:color="auto" w:fill="auto"/>
            <w:vAlign w:val="center"/>
          </w:tcPr>
          <w:p w14:paraId="148763A2">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DN200~DN300</w:t>
            </w:r>
          </w:p>
        </w:tc>
        <w:tc>
          <w:tcPr>
            <w:tcW w:w="3312" w:type="dxa"/>
            <w:shd w:val="clear" w:color="auto" w:fill="auto"/>
            <w:vAlign w:val="center"/>
          </w:tcPr>
          <w:p w14:paraId="2905F91F">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120</w:t>
            </w:r>
          </w:p>
        </w:tc>
        <w:tc>
          <w:tcPr>
            <w:tcW w:w="3253" w:type="dxa"/>
            <w:shd w:val="clear" w:color="auto" w:fill="auto"/>
            <w:vAlign w:val="center"/>
          </w:tcPr>
          <w:p w14:paraId="6532E7BC">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60</w:t>
            </w:r>
          </w:p>
        </w:tc>
      </w:tr>
      <w:tr w14:paraId="5290C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2103" w:type="dxa"/>
            <w:shd w:val="clear" w:color="auto" w:fill="auto"/>
            <w:vAlign w:val="center"/>
          </w:tcPr>
          <w:p w14:paraId="77112753">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≥DN350</w:t>
            </w:r>
          </w:p>
        </w:tc>
        <w:tc>
          <w:tcPr>
            <w:tcW w:w="3312" w:type="dxa"/>
            <w:shd w:val="clear" w:color="auto" w:fill="auto"/>
            <w:vAlign w:val="center"/>
          </w:tcPr>
          <w:p w14:paraId="681E9EA6">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300</w:t>
            </w:r>
          </w:p>
        </w:tc>
        <w:tc>
          <w:tcPr>
            <w:tcW w:w="3253" w:type="dxa"/>
            <w:shd w:val="clear" w:color="auto" w:fill="auto"/>
            <w:vAlign w:val="center"/>
          </w:tcPr>
          <w:p w14:paraId="79B93E1D">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120</w:t>
            </w:r>
          </w:p>
        </w:tc>
      </w:tr>
      <w:tr w14:paraId="39A9D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668" w:type="dxa"/>
            <w:gridSpan w:val="3"/>
            <w:shd w:val="clear" w:color="auto" w:fill="auto"/>
            <w:vAlign w:val="center"/>
          </w:tcPr>
          <w:p w14:paraId="178A8F58">
            <w:pPr>
              <w:keepNext w:val="0"/>
              <w:keepLines w:val="0"/>
              <w:pageBreakBefore w:val="0"/>
              <w:widowControl w:val="0"/>
              <w:tabs>
                <w:tab w:val="left" w:pos="540"/>
                <w:tab w:val="left" w:pos="1080"/>
                <w:tab w:val="left" w:pos="1200"/>
              </w:tabs>
              <w:kinsoku/>
              <w:wordWrap/>
              <w:overflowPunct/>
              <w:topLinePunct w:val="0"/>
              <w:autoSpaceDE/>
              <w:autoSpaceDN/>
              <w:bidi w:val="0"/>
              <w:snapToGrid/>
              <w:spacing w:line="590" w:lineRule="exact"/>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阀门试验介质压力升至规定值后,保持该试验压力的最少时间</w:t>
            </w:r>
          </w:p>
        </w:tc>
      </w:tr>
    </w:tbl>
    <w:p w14:paraId="4363C749">
      <w:pPr>
        <w:keepNext w:val="0"/>
        <w:keepLines w:val="0"/>
        <w:pageBreakBefore w:val="0"/>
        <w:widowControl w:val="0"/>
        <w:numPr>
          <w:ilvl w:val="0"/>
          <w:numId w:val="0"/>
        </w:numPr>
        <w:kinsoku/>
        <w:wordWrap/>
        <w:overflowPunct/>
        <w:topLinePunct w:val="0"/>
        <w:autoSpaceDE/>
        <w:autoSpaceDN/>
        <w:bidi w:val="0"/>
        <w:snapToGrid/>
        <w:spacing w:line="590" w:lineRule="exact"/>
        <w:ind w:firstLine="640" w:firstLineChars="200"/>
        <w:jc w:val="both"/>
        <w:rPr>
          <w:rFonts w:hint="eastAsia" w:ascii="黑体" w:hAnsi="黑体" w:eastAsia="黑体" w:cs="黑体"/>
          <w:b w:val="0"/>
          <w:bCs/>
          <w:sz w:val="32"/>
          <w:szCs w:val="32"/>
        </w:rPr>
      </w:pPr>
      <w:r>
        <w:rPr>
          <w:rFonts w:hint="eastAsia" w:ascii="黑体" w:hAnsi="黑体" w:eastAsia="黑体" w:cs="黑体"/>
          <w:b w:val="0"/>
          <w:bCs/>
          <w:kern w:val="2"/>
          <w:sz w:val="32"/>
          <w:szCs w:val="32"/>
          <w:lang w:val="en-US" w:eastAsia="zh-TW" w:bidi="ar-SA"/>
        </w:rPr>
        <w:t>七、</w:t>
      </w:r>
      <w:r>
        <w:rPr>
          <w:rFonts w:hint="eastAsia" w:ascii="黑体" w:hAnsi="黑体" w:eastAsia="黑体" w:cs="黑体"/>
          <w:b w:val="0"/>
          <w:bCs/>
          <w:sz w:val="32"/>
          <w:szCs w:val="32"/>
          <w:lang w:eastAsia="zh-CN"/>
        </w:rPr>
        <w:t>标示及包装</w:t>
      </w:r>
      <w:r>
        <w:rPr>
          <w:rFonts w:hint="eastAsia" w:ascii="黑体" w:hAnsi="黑体" w:eastAsia="黑体" w:cs="黑体"/>
          <w:b w:val="0"/>
          <w:bCs/>
          <w:sz w:val="32"/>
          <w:szCs w:val="32"/>
        </w:rPr>
        <w:t>：</w:t>
      </w:r>
    </w:p>
    <w:p w14:paraId="65E10E3D">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1、阀门标志应符合GB/T 12220的规定,在阀门外表面的适当位置,应牢固固定耐锈蚀标牌,并至少包括下列内容:</w:t>
      </w:r>
    </w:p>
    <w:p w14:paraId="05EC2862">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a) 制造商全称</w:t>
      </w:r>
    </w:p>
    <w:p w14:paraId="4FD5F27F">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 产品规格、口径、压力</w:t>
      </w:r>
    </w:p>
    <w:p w14:paraId="5DC4C322">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c) 生产编号</w:t>
      </w:r>
    </w:p>
    <w:p w14:paraId="607ED6C0">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d) 制造商商标</w:t>
      </w:r>
    </w:p>
    <w:p w14:paraId="7D017710">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2、阀门在出厂试验合格后应清除表面、内腔残存的试验介质与污渍。</w:t>
      </w:r>
    </w:p>
    <w:p w14:paraId="3C418F8F">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3、阀门出厂时应采取有效措施防止阀门密封面损伤；启闭件应处于开启位置。</w:t>
      </w:r>
    </w:p>
    <w:p w14:paraId="3A2D2669">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4、具有足够刚性且不可分拆的大件或特大件产品,下部设置托架支撑与固定,上部须采用适当防护措施,以防止滚翻或窜动,并应符合JB/T 4711的规定。</w:t>
      </w:r>
    </w:p>
    <w:p w14:paraId="71274C3B">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5、产品采用木箱包装时,应牢固且具有良好的防潮、防震、防尘措施,并应符合GB/T 13384。</w:t>
      </w:r>
    </w:p>
    <w:p w14:paraId="0BA45538">
      <w:pPr>
        <w:keepNext w:val="0"/>
        <w:keepLines w:val="0"/>
        <w:pageBreakBefore w:val="0"/>
        <w:widowControl w:val="0"/>
        <w:tabs>
          <w:tab w:val="left" w:pos="540"/>
          <w:tab w:val="left" w:pos="900"/>
        </w:tabs>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6、包装标志至少包括下列内容:</w:t>
      </w:r>
    </w:p>
    <w:p w14:paraId="3A65FA78">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a) 制造商全称</w:t>
      </w:r>
    </w:p>
    <w:p w14:paraId="7A0118D9">
      <w:pPr>
        <w:keepNext w:val="0"/>
        <w:keepLines w:val="0"/>
        <w:pageBreakBefore w:val="0"/>
        <w:widowControl w:val="0"/>
        <w:kinsoku/>
        <w:wordWrap/>
        <w:overflowPunct/>
        <w:topLinePunct w:val="0"/>
        <w:autoSpaceDE/>
        <w:autoSpaceDN/>
        <w:bidi w:val="0"/>
        <w:snapToGrid/>
        <w:spacing w:line="59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b) 产品规格、口径、压力、数量</w:t>
      </w:r>
      <w:bookmarkEnd w:id="2"/>
    </w:p>
    <w:p w14:paraId="4EB9ED52">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eastAsia" w:ascii="Times New Roman" w:hAnsi="Times New Roman" w:eastAsia="仿宋_GB2312"/>
          <w:sz w:val="32"/>
          <w:szCs w:val="32"/>
          <w:lang w:val="en-US" w:eastAsia="zh-CN"/>
        </w:rPr>
      </w:pPr>
    </w:p>
    <w:p w14:paraId="76398455">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eastAsia" w:ascii="Times New Roman" w:hAnsi="Times New Roman" w:eastAsia="仿宋_GB2312"/>
          <w:sz w:val="32"/>
          <w:szCs w:val="32"/>
          <w:lang w:val="en-US" w:eastAsia="zh-CN"/>
        </w:rPr>
      </w:pPr>
    </w:p>
    <w:p w14:paraId="18F7462D">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711C6D29">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7928188A">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224A9F61">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4688127C">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63E36E9D">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64515FDD">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0D4C94FD">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179DD639">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6DE26987">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4483F54E">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p>
    <w:p w14:paraId="04EF8A3D">
      <w:pPr>
        <w:keepNext w:val="0"/>
        <w:keepLines w:val="0"/>
        <w:pageBreakBefore w:val="0"/>
        <w:widowControl w:val="0"/>
        <w:kinsoku/>
        <w:wordWrap/>
        <w:overflowPunct/>
        <w:topLinePunct w:val="0"/>
        <w:autoSpaceDE/>
        <w:autoSpaceDN/>
        <w:bidi w:val="0"/>
        <w:adjustRightInd/>
        <w:snapToGrid/>
        <w:spacing w:line="590" w:lineRule="exact"/>
        <w:jc w:val="both"/>
        <w:textAlignment w:val="auto"/>
        <w:rPr>
          <w:rFonts w:hint="default" w:ascii="Times New Roman" w:hAnsi="Times New Roman" w:eastAsia="仿宋_GB2312"/>
          <w:sz w:val="32"/>
          <w:szCs w:val="32"/>
          <w:lang w:val="en-US" w:eastAsia="zh-CN"/>
        </w:rPr>
      </w:pPr>
      <w:r>
        <w:rPr>
          <w:rFonts w:hint="default" w:ascii="Times New Roman" w:hAnsi="Times New Roman" w:eastAsia="仿宋_GB2312"/>
          <w:sz w:val="32"/>
          <w:szCs w:val="32"/>
          <w:lang w:val="en-US" w:eastAsia="zh-CN"/>
        </w:rPr>
        <w:drawing>
          <wp:inline distT="0" distB="0" distL="114300" distR="114300">
            <wp:extent cx="5615305" cy="7547610"/>
            <wp:effectExtent l="0" t="0" r="0" b="0"/>
            <wp:docPr id="2" name="图片 2" descr="2b3ec17dd85c0fefefad456a708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b3ec17dd85c0fefefad456a7085080"/>
                    <pic:cNvPicPr>
                      <a:picLocks noChangeAspect="1"/>
                    </pic:cNvPicPr>
                  </pic:nvPicPr>
                  <pic:blipFill>
                    <a:blip r:embed="rId5"/>
                    <a:stretch>
                      <a:fillRect/>
                    </a:stretch>
                  </pic:blipFill>
                  <pic:spPr>
                    <a:xfrm>
                      <a:off x="0" y="0"/>
                      <a:ext cx="5615305" cy="7547610"/>
                    </a:xfrm>
                    <a:prstGeom prst="rect">
                      <a:avLst/>
                    </a:prstGeom>
                  </pic:spPr>
                </pic:pic>
              </a:graphicData>
            </a:graphic>
          </wp:inline>
        </w:drawing>
      </w:r>
    </w:p>
    <w:sectPr>
      <w:footerReference r:id="rId3" w:type="default"/>
      <w:pgSz w:w="11906" w:h="16838"/>
      <w:pgMar w:top="1984" w:right="1531" w:bottom="1984" w:left="1531" w:header="851" w:footer="147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DB203">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150291">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4150291">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C4486A">
                          <w:pPr>
                            <w:pStyle w:val="2"/>
                            <w:rPr>
                              <w:rFonts w:hint="eastAsia" w:ascii="宋体" w:hAnsi="宋体" w:eastAsia="宋体" w:cs="宋体"/>
                              <w:sz w:val="28"/>
                              <w:szCs w:val="28"/>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C4486A">
                    <w:pPr>
                      <w:pStyle w:val="2"/>
                      <w:rPr>
                        <w:rFonts w:hint="eastAsia" w:ascii="宋体" w:hAnsi="宋体" w:eastAsia="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wYTA0YmU5ZDFiNTA2NWQ5NTNiN2VjMTNjN2E0NTgifQ=="/>
  </w:docVars>
  <w:rsids>
    <w:rsidRoot w:val="313F6F24"/>
    <w:rsid w:val="109E49F7"/>
    <w:rsid w:val="19AF0CB4"/>
    <w:rsid w:val="19B46C74"/>
    <w:rsid w:val="2A6443CE"/>
    <w:rsid w:val="313F6F24"/>
    <w:rsid w:val="3A430A16"/>
    <w:rsid w:val="3E3E03AB"/>
    <w:rsid w:val="45BD58D5"/>
    <w:rsid w:val="50D605D0"/>
    <w:rsid w:val="68B64C7C"/>
    <w:rsid w:val="78157A22"/>
    <w:rsid w:val="7C9D4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宋体" w:hAnsi="宋体" w:eastAsia="宋体" w:cs="宋体"/>
      <w:sz w:val="55"/>
      <w:szCs w:val="55"/>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1707</Words>
  <Characters>1994</Characters>
  <Lines>0</Lines>
  <Paragraphs>0</Paragraphs>
  <TotalTime>35</TotalTime>
  <ScaleCrop>false</ScaleCrop>
  <LinksUpToDate>false</LinksUpToDate>
  <CharactersWithSpaces>2060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2024-05-17T02:53:00Z</dcterms:created>
  <dc:creator>abc九十度温</dc:creator>
  <cp:lastModifiedBy>abc九十度温</cp:lastModifiedBy>
  <cp:lastPrinted>2025-06-13T06:12:00Z</cp:lastPrinted>
  <dcterms:modified xsi:type="dcterms:W3CDTF">2025-07-09T08:22:06Z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E50C796A0B6140AB9613B675BA9770B3_13</vt:lpwstr>
  </property>
  <property fmtid="{D5CDD505-2E9C-101B-9397-08002B2CF9AE}" pid="4" name="KSOTemplateDocerSaveRecord">
    <vt:lpwstr>eyJoZGlkIjoiYzkyMzRlZWY0MGMyNGMyOTRjNTgyMmQyODMzN2Y3ZWYiLCJ1c2VySWQiOiI2MDAzNTA4NzMifQ==</vt:lpwstr>
  </property>
</Properties>
</file>