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3389C" w14:textId="612421BE" w:rsidR="00EF2649" w:rsidRPr="00B92A38" w:rsidRDefault="00000000">
      <w:pPr>
        <w:spacing w:line="560" w:lineRule="exact"/>
        <w:jc w:val="center"/>
        <w:rPr>
          <w:rFonts w:ascii="方正小标宋简体" w:eastAsia="方正小标宋简体" w:hAnsi="华文中宋" w:cs="宋体" w:hint="eastAsia"/>
          <w:bCs/>
          <w:sz w:val="36"/>
          <w:szCs w:val="36"/>
        </w:rPr>
      </w:pPr>
      <w:r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南通市崇川区任港路停车楼商业区商铺</w:t>
      </w:r>
      <w:r w:rsidR="006F6C27"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二期</w:t>
      </w:r>
      <w:r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招商征集</w:t>
      </w:r>
      <w:r w:rsidR="006F6C27"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包</w:t>
      </w:r>
      <w:r w:rsidR="007A14A9"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件</w:t>
      </w:r>
      <w:r w:rsidR="006F6C27"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一</w:t>
      </w:r>
      <w:r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评审办法</w:t>
      </w:r>
    </w:p>
    <w:p w14:paraId="727F9A3A" w14:textId="77777777" w:rsidR="00EF2649" w:rsidRPr="00B92A38" w:rsidRDefault="00EF2649">
      <w:pPr>
        <w:pStyle w:val="Default"/>
        <w:spacing w:line="560" w:lineRule="exact"/>
        <w:rPr>
          <w:rFonts w:ascii="仿宋" w:eastAsia="仿宋" w:hAnsi="仿宋" w:hint="eastAsia"/>
          <w:color w:val="auto"/>
          <w:sz w:val="32"/>
          <w:szCs w:val="32"/>
        </w:rPr>
      </w:pPr>
    </w:p>
    <w:p w14:paraId="244C8FF1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黑体" w:eastAsia="黑体" w:hAnsi="黑体" w:hint="eastAsia"/>
          <w:bCs/>
          <w:color w:val="auto"/>
          <w:sz w:val="32"/>
          <w:szCs w:val="32"/>
        </w:rPr>
      </w:pPr>
      <w:r w:rsidRPr="00B92A38">
        <w:rPr>
          <w:rFonts w:ascii="黑体" w:eastAsia="黑体" w:hAnsi="黑体" w:hint="eastAsia"/>
          <w:bCs/>
          <w:color w:val="auto"/>
          <w:sz w:val="32"/>
          <w:szCs w:val="32"/>
        </w:rPr>
        <w:t>一、评审组织</w:t>
      </w:r>
    </w:p>
    <w:p w14:paraId="283AE78B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1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、组织机构：由征集人按规定组成评审小组开展评审。</w:t>
      </w:r>
    </w:p>
    <w:p w14:paraId="76D194E9" w14:textId="3348654D" w:rsidR="00EF2649" w:rsidRPr="00B92A38" w:rsidRDefault="00000000">
      <w:pPr>
        <w:pStyle w:val="Default"/>
        <w:spacing w:line="560" w:lineRule="exact"/>
        <w:ind w:leftChars="152" w:left="319" w:firstLineChars="100" w:firstLine="32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2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、报名及递交文件时间：202</w:t>
      </w:r>
      <w:r w:rsidR="00D27E8A" w:rsidRPr="00B92A38">
        <w:rPr>
          <w:rFonts w:ascii="仿宋" w:eastAsia="仿宋" w:hAnsi="仿宋" w:hint="eastAsia"/>
          <w:color w:val="auto"/>
          <w:sz w:val="32"/>
          <w:szCs w:val="32"/>
        </w:rPr>
        <w:t>4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年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8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月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1</w:t>
      </w:r>
      <w:r w:rsidR="00CE198D">
        <w:rPr>
          <w:rFonts w:ascii="仿宋" w:eastAsia="仿宋" w:hAnsi="仿宋" w:hint="eastAsia"/>
          <w:color w:val="auto"/>
          <w:sz w:val="32"/>
          <w:szCs w:val="32"/>
        </w:rPr>
        <w:t>5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日至202</w:t>
      </w:r>
      <w:r w:rsidR="00D27E8A" w:rsidRPr="00B92A38">
        <w:rPr>
          <w:rFonts w:ascii="仿宋" w:eastAsia="仿宋" w:hAnsi="仿宋" w:hint="eastAsia"/>
          <w:color w:val="auto"/>
          <w:sz w:val="32"/>
          <w:szCs w:val="32"/>
        </w:rPr>
        <w:t>4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年</w:t>
      </w:r>
      <w:r w:rsidR="00D27E8A" w:rsidRPr="00B92A38">
        <w:rPr>
          <w:rFonts w:ascii="仿宋" w:eastAsia="仿宋" w:hAnsi="仿宋" w:hint="eastAsia"/>
          <w:color w:val="auto"/>
          <w:sz w:val="32"/>
          <w:szCs w:val="32"/>
        </w:rPr>
        <w:t xml:space="preserve">   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8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月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2</w:t>
      </w:r>
      <w:r w:rsidR="00CE198D">
        <w:rPr>
          <w:rFonts w:ascii="仿宋" w:eastAsia="仿宋" w:hAnsi="仿宋" w:hint="eastAsia"/>
          <w:color w:val="auto"/>
          <w:sz w:val="32"/>
          <w:szCs w:val="32"/>
        </w:rPr>
        <w:t>6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日。</w:t>
      </w:r>
    </w:p>
    <w:p w14:paraId="614AB18B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3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、评审地点：南通国有不动产经营管理有限公司会议室。</w:t>
      </w:r>
    </w:p>
    <w:p w14:paraId="098A07ED" w14:textId="210B994B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4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、评审对象：202</w:t>
      </w:r>
      <w:r w:rsidR="00D27E8A" w:rsidRPr="00B92A38">
        <w:rPr>
          <w:rFonts w:ascii="仿宋" w:eastAsia="仿宋" w:hAnsi="仿宋" w:hint="eastAsia"/>
          <w:color w:val="auto"/>
          <w:sz w:val="32"/>
          <w:szCs w:val="32"/>
        </w:rPr>
        <w:t>4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年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8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月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2</w:t>
      </w:r>
      <w:r w:rsidR="00CE198D">
        <w:rPr>
          <w:rFonts w:ascii="仿宋" w:eastAsia="仿宋" w:hAnsi="仿宋" w:hint="eastAsia"/>
          <w:color w:val="auto"/>
          <w:sz w:val="32"/>
          <w:szCs w:val="32"/>
        </w:rPr>
        <w:t>6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日下午17：00时前提交有效报名资料和响应文件的征集响应人。</w:t>
      </w:r>
    </w:p>
    <w:p w14:paraId="0F5ECE31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5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、组织纪律：坚持公平、公正和诚实信用原则，按照本评审办法对全部响应人进行综合评审。</w:t>
      </w:r>
    </w:p>
    <w:p w14:paraId="4318DF07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6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、评审过程中，不得接收响应人递交的补充材料。</w:t>
      </w:r>
    </w:p>
    <w:p w14:paraId="2C30F659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7、评审相关信息需全程保密，不得泄漏。</w:t>
      </w:r>
    </w:p>
    <w:p w14:paraId="6D676FE6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黑体" w:eastAsia="黑体" w:hAnsi="黑体" w:hint="eastAsia"/>
          <w:bCs/>
          <w:color w:val="auto"/>
          <w:sz w:val="32"/>
          <w:szCs w:val="32"/>
        </w:rPr>
      </w:pPr>
      <w:r w:rsidRPr="00B92A38">
        <w:rPr>
          <w:rFonts w:ascii="黑体" w:eastAsia="黑体" w:hAnsi="黑体" w:hint="eastAsia"/>
          <w:bCs/>
          <w:color w:val="auto"/>
          <w:sz w:val="32"/>
          <w:szCs w:val="32"/>
        </w:rPr>
        <w:t>二、评审程序</w:t>
      </w:r>
    </w:p>
    <w:p w14:paraId="343CB3E8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由评审小组组长主持招商评审会议，组织开展评审工作：</w:t>
      </w:r>
    </w:p>
    <w:p w14:paraId="17CE8DBF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1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、评审小组全体成员熟悉本次征集项目的内容、要求、商业规划和评审办法;</w:t>
      </w:r>
    </w:p>
    <w:p w14:paraId="6A209048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2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、核对全部响应材料名录;</w:t>
      </w:r>
    </w:p>
    <w:p w14:paraId="7E4C0753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3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、查验响应资料的密封性、完整性;</w:t>
      </w:r>
    </w:p>
    <w:p w14:paraId="45C1EDF1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4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、开封响应材料;</w:t>
      </w:r>
    </w:p>
    <w:p w14:paraId="3BD21AE1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lastRenderedPageBreak/>
        <w:t>5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、统计响应材料；</w:t>
      </w:r>
    </w:p>
    <w:p w14:paraId="065E0BE6" w14:textId="3DFAC1B5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6、评审小组对每家有效响应人按商务技术分（1-</w:t>
      </w:r>
      <w:r w:rsidR="004B0AD8" w:rsidRPr="00B92A38">
        <w:rPr>
          <w:rFonts w:ascii="仿宋" w:eastAsia="仿宋" w:hAnsi="仿宋" w:hint="eastAsia"/>
          <w:color w:val="auto"/>
          <w:sz w:val="32"/>
          <w:szCs w:val="32"/>
        </w:rPr>
        <w:t>6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项，满分</w:t>
      </w:r>
      <w:r w:rsidRPr="00B92A38">
        <w:rPr>
          <w:rFonts w:ascii="仿宋" w:eastAsia="仿宋" w:hAnsi="仿宋"/>
          <w:color w:val="auto"/>
          <w:sz w:val="32"/>
          <w:szCs w:val="32"/>
        </w:rPr>
        <w:t>70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分）加响应价格得分（第</w:t>
      </w:r>
      <w:r w:rsidR="004B0AD8" w:rsidRPr="00B92A38">
        <w:rPr>
          <w:rFonts w:ascii="仿宋" w:eastAsia="仿宋" w:hAnsi="仿宋" w:hint="eastAsia"/>
          <w:color w:val="auto"/>
          <w:sz w:val="32"/>
          <w:szCs w:val="32"/>
        </w:rPr>
        <w:t>7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项，满分</w:t>
      </w:r>
      <w:r w:rsidRPr="00B92A38">
        <w:rPr>
          <w:rFonts w:ascii="仿宋" w:eastAsia="仿宋" w:hAnsi="仿宋"/>
          <w:color w:val="auto"/>
          <w:sz w:val="32"/>
          <w:szCs w:val="32"/>
        </w:rPr>
        <w:t>30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分），总计满分1</w:t>
      </w:r>
      <w:r w:rsidRPr="00B92A38">
        <w:rPr>
          <w:rFonts w:ascii="仿宋" w:eastAsia="仿宋" w:hAnsi="仿宋"/>
          <w:color w:val="auto"/>
          <w:sz w:val="32"/>
          <w:szCs w:val="32"/>
        </w:rPr>
        <w:t>00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分的评分标准进行综合评审；</w:t>
      </w:r>
    </w:p>
    <w:p w14:paraId="60FB2815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7、本次招商征集综合评审录取响应人的资格审查合格分为60分，低于60分的为不合格；</w:t>
      </w:r>
    </w:p>
    <w:p w14:paraId="1E3D89F1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8、评审小组对每间商铺超过合格分的响应人进行由高到低排名，取前三名为中标候选人，如第一中标人弃权，则由第二名中标，依此类推；</w:t>
      </w:r>
    </w:p>
    <w:p w14:paraId="39E1B400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9、评审小组汇总评审结果；</w:t>
      </w:r>
    </w:p>
    <w:p w14:paraId="22C3287D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10、评审小组将评审结果在集团官网进行公示；</w:t>
      </w:r>
    </w:p>
    <w:p w14:paraId="33F4F7A3" w14:textId="77777777" w:rsidR="00EF2649" w:rsidRPr="00B92A38" w:rsidRDefault="00000000">
      <w:pPr>
        <w:pStyle w:val="Default"/>
        <w:spacing w:line="560" w:lineRule="exact"/>
        <w:ind w:firstLineChars="200" w:firstLine="640"/>
        <w:rPr>
          <w:rFonts w:ascii="黑体" w:eastAsia="黑体" w:hAnsi="黑体" w:hint="eastAsia"/>
          <w:bCs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注：全部评审过程形成书面记录，留档保存。</w:t>
      </w:r>
    </w:p>
    <w:p w14:paraId="57CCF2D8" w14:textId="77777777" w:rsidR="00EF2649" w:rsidRPr="00B92A38" w:rsidRDefault="00000000">
      <w:pPr>
        <w:pStyle w:val="Default"/>
        <w:numPr>
          <w:ilvl w:val="0"/>
          <w:numId w:val="1"/>
        </w:numPr>
        <w:spacing w:line="560" w:lineRule="exact"/>
        <w:rPr>
          <w:rFonts w:ascii="黑体" w:eastAsia="黑体" w:hAnsi="黑体" w:hint="eastAsia"/>
          <w:bCs/>
          <w:color w:val="auto"/>
          <w:sz w:val="32"/>
          <w:szCs w:val="32"/>
        </w:rPr>
      </w:pPr>
      <w:r w:rsidRPr="00B92A38">
        <w:rPr>
          <w:rFonts w:ascii="黑体" w:eastAsia="黑体" w:hAnsi="黑体" w:hint="eastAsia"/>
          <w:bCs/>
          <w:color w:val="auto"/>
          <w:sz w:val="32"/>
          <w:szCs w:val="32"/>
        </w:rPr>
        <w:t>评审标准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85"/>
        <w:gridCol w:w="962"/>
        <w:gridCol w:w="690"/>
        <w:gridCol w:w="6259"/>
      </w:tblGrid>
      <w:tr w:rsidR="00B92A38" w:rsidRPr="00B92A38" w14:paraId="1AA5C9B0" w14:textId="77777777" w:rsidTr="004B0AD8">
        <w:trPr>
          <w:trHeight w:val="914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D1F02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B880F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评议项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F9CDC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满分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1960A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评议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方法</w:t>
            </w:r>
          </w:p>
        </w:tc>
      </w:tr>
      <w:tr w:rsidR="00B92A38" w:rsidRPr="00B92A38" w14:paraId="76DF353C" w14:textId="77777777" w:rsidTr="004B0AD8">
        <w:trPr>
          <w:trHeight w:val="800"/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7266C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9F400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经营实力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253A7" w14:textId="64E7E2C2" w:rsidR="00EF2649" w:rsidRPr="00B92A38" w:rsidRDefault="00076D5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6</w:t>
            </w:r>
            <w:r w:rsidRPr="00B92A38">
              <w:rPr>
                <w:rFonts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01B96" w14:textId="5ADC8433" w:rsidR="00EF2649" w:rsidRPr="00B92A38" w:rsidRDefault="00000000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对响应</w:t>
            </w:r>
            <w:r w:rsidRPr="00B92A38">
              <w:rPr>
                <w:rFonts w:ascii="宋体" w:hAnsi="宋体" w:cs="宋体"/>
                <w:kern w:val="0"/>
                <w:sz w:val="24"/>
              </w:rPr>
              <w:t>人从事本行业的经营年限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（以响应人提供的营业执照注册时间为准）</w:t>
            </w:r>
            <w:r w:rsidRPr="00B92A38">
              <w:rPr>
                <w:rFonts w:ascii="宋体" w:hAnsi="宋体" w:cs="宋体"/>
                <w:kern w:val="0"/>
                <w:sz w:val="24"/>
              </w:rPr>
              <w:t>进行评议，</w:t>
            </w:r>
            <w:r w:rsidR="00814B28" w:rsidRPr="00B92A38">
              <w:rPr>
                <w:rFonts w:ascii="宋体" w:hAnsi="宋体" w:cs="宋体" w:hint="eastAsia"/>
                <w:kern w:val="0"/>
                <w:sz w:val="24"/>
              </w:rPr>
              <w:t>注册时间满1年的得1分；满2年的得2分；满3年的得3分；满4年的得4分；满5年的得5分</w:t>
            </w:r>
            <w:r w:rsidR="00076D54" w:rsidRPr="00B92A38">
              <w:rPr>
                <w:rFonts w:ascii="宋体" w:hAnsi="宋体" w:cs="宋体" w:hint="eastAsia"/>
                <w:kern w:val="0"/>
                <w:sz w:val="24"/>
              </w:rPr>
              <w:t>，满6年及以上的得6分</w:t>
            </w:r>
            <w:r w:rsidR="00814B28" w:rsidRPr="00B92A38">
              <w:rPr>
                <w:rFonts w:ascii="宋体" w:hAnsi="宋体" w:cs="宋体" w:hint="eastAsia"/>
                <w:kern w:val="0"/>
                <w:sz w:val="24"/>
              </w:rPr>
              <w:t>；</w:t>
            </w:r>
          </w:p>
        </w:tc>
      </w:tr>
      <w:tr w:rsidR="00B92A38" w:rsidRPr="00B92A38" w14:paraId="69B3476D" w14:textId="77777777" w:rsidTr="004B0AD8">
        <w:trPr>
          <w:trHeight w:val="800"/>
          <w:jc w:val="center"/>
        </w:trPr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A46A4" w14:textId="77777777" w:rsidR="00EF2649" w:rsidRPr="00B92A38" w:rsidRDefault="00EF26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5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4E78E" w14:textId="77777777" w:rsidR="00EF2649" w:rsidRPr="00B92A38" w:rsidRDefault="00EF26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414AB" w14:textId="3EA1C7F1" w:rsidR="00EF2649" w:rsidRPr="00B92A38" w:rsidRDefault="00076D5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6</w:t>
            </w:r>
            <w:r w:rsidRPr="00B92A38">
              <w:rPr>
                <w:rFonts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9B50C" w14:textId="5784D28D" w:rsidR="00EF2649" w:rsidRPr="00B92A38" w:rsidRDefault="00000000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对响应人</w:t>
            </w:r>
            <w:r w:rsidRPr="00B92A38">
              <w:rPr>
                <w:rFonts w:ascii="宋体" w:hAnsi="宋体" w:cs="宋体"/>
                <w:kern w:val="0"/>
                <w:sz w:val="24"/>
              </w:rPr>
              <w:t>从事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开设</w:t>
            </w:r>
            <w:r w:rsidRPr="00B92A38">
              <w:rPr>
                <w:rFonts w:ascii="宋体" w:hAnsi="宋体" w:cs="宋体"/>
                <w:kern w:val="0"/>
                <w:sz w:val="24"/>
              </w:rPr>
              <w:t>本行业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店铺</w:t>
            </w:r>
            <w:r w:rsidRPr="00B92A38">
              <w:rPr>
                <w:rFonts w:ascii="宋体" w:hAnsi="宋体" w:cs="宋体"/>
                <w:kern w:val="0"/>
                <w:sz w:val="24"/>
              </w:rPr>
              <w:t>的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数量</w:t>
            </w:r>
            <w:r w:rsidRPr="00B92A38">
              <w:rPr>
                <w:rFonts w:ascii="宋体" w:hAnsi="宋体" w:cs="宋体"/>
                <w:kern w:val="0"/>
                <w:sz w:val="24"/>
              </w:rPr>
              <w:t>进行评议，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实际经营中同品类店铺数量</w:t>
            </w:r>
            <w:r w:rsidR="00814B28" w:rsidRPr="00B92A38">
              <w:rPr>
                <w:rFonts w:ascii="宋体" w:hAnsi="宋体" w:cs="宋体" w:hint="eastAsia"/>
                <w:kern w:val="0"/>
                <w:sz w:val="24"/>
              </w:rPr>
              <w:t>达1家的得1分；达2家的得2分；达3家的得3分；达4家的得4分；达5家的得5分；</w:t>
            </w:r>
            <w:r w:rsidR="00076D54" w:rsidRPr="00B92A38">
              <w:rPr>
                <w:rFonts w:ascii="宋体" w:hAnsi="宋体" w:cs="宋体" w:hint="eastAsia"/>
                <w:kern w:val="0"/>
                <w:sz w:val="24"/>
              </w:rPr>
              <w:t>达6家及以上的得6分；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目前未有实际经营店铺不得分</w:t>
            </w:r>
            <w:r w:rsidRPr="00B92A38">
              <w:rPr>
                <w:rFonts w:ascii="宋体" w:hAnsi="宋体" w:cs="宋体"/>
                <w:kern w:val="0"/>
                <w:sz w:val="24"/>
              </w:rPr>
              <w:t>。</w:t>
            </w:r>
          </w:p>
        </w:tc>
      </w:tr>
      <w:tr w:rsidR="00B92A38" w:rsidRPr="00B92A38" w14:paraId="268722E4" w14:textId="77777777" w:rsidTr="00076D54">
        <w:trPr>
          <w:trHeight w:val="187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81809" w14:textId="77777777" w:rsidR="00076D54" w:rsidRPr="00B92A38" w:rsidRDefault="00076D5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ED947" w14:textId="77777777" w:rsidR="00076D54" w:rsidRPr="00B92A38" w:rsidRDefault="00076D5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经营保障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241A0" w14:textId="75B960DF" w:rsidR="00076D54" w:rsidRPr="00B92A38" w:rsidRDefault="00076D54" w:rsidP="00EC30E3">
            <w:pPr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B92A38">
              <w:rPr>
                <w:rFonts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C5FE1" w14:textId="217364B5" w:rsidR="00076D54" w:rsidRPr="00B92A38" w:rsidRDefault="00076D54" w:rsidP="007409AC">
            <w:pPr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从申请人经营团队的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从业人员数量和专业化程度（缴纳社保）两个</w:t>
            </w:r>
            <w:r w:rsidRPr="00B92A38">
              <w:rPr>
                <w:rFonts w:ascii="宋体" w:hAnsi="宋体" w:cs="宋体"/>
                <w:kern w:val="0"/>
                <w:sz w:val="24"/>
              </w:rPr>
              <w:t>方面进行评议，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从业人员数量超10人（含10人）的得5分；从业人员数量超8人（含8人）的得4分；从业人员数量超6人（含6人）的得3分；从业人员数量超4人（含4人）的得2分；从业人员数量超2人（含2人）的得1分；从业人员数量低于2人的不得分</w:t>
            </w:r>
            <w:r w:rsidRPr="00B92A38">
              <w:rPr>
                <w:rFonts w:ascii="宋体" w:hAnsi="宋体" w:cs="宋体"/>
                <w:kern w:val="0"/>
                <w:sz w:val="24"/>
              </w:rPr>
              <w:t>。</w:t>
            </w:r>
          </w:p>
        </w:tc>
      </w:tr>
      <w:tr w:rsidR="00B92A38" w:rsidRPr="00B92A38" w14:paraId="368F2587" w14:textId="77777777" w:rsidTr="004B0AD8">
        <w:trPr>
          <w:trHeight w:val="800"/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167F1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61A5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品牌影响力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7A94A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10</w:t>
            </w:r>
            <w:r w:rsidRPr="00B92A38">
              <w:rPr>
                <w:rFonts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67E7C" w14:textId="77777777" w:rsidR="00EF2649" w:rsidRPr="00B92A38" w:rsidRDefault="00000000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从响应人性质进行评议，品牌连锁直营商得10分；品牌连锁加盟商得5分；自创品牌个体经营得1分。</w:t>
            </w:r>
          </w:p>
        </w:tc>
      </w:tr>
      <w:tr w:rsidR="00B92A38" w:rsidRPr="00B92A38" w14:paraId="262FEB36" w14:textId="77777777" w:rsidTr="004B0AD8">
        <w:trPr>
          <w:trHeight w:val="928"/>
          <w:jc w:val="center"/>
        </w:trPr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F74A6" w14:textId="77777777" w:rsidR="00EF2649" w:rsidRPr="00B92A38" w:rsidRDefault="00EF26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5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DE84" w14:textId="77777777" w:rsidR="00EF2649" w:rsidRPr="00B92A38" w:rsidRDefault="00EF26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76277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15分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5A74" w14:textId="77777777" w:rsidR="00EF2649" w:rsidRPr="00B92A38" w:rsidRDefault="00000000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从品牌的排名进行评议，在同铺位所有申请品类中进行排序，第一名得15分，其余依次递减2分，最低得1分。</w:t>
            </w:r>
          </w:p>
        </w:tc>
      </w:tr>
      <w:tr w:rsidR="00B92A38" w:rsidRPr="00B92A38" w14:paraId="6F51EEFC" w14:textId="77777777" w:rsidTr="004B0AD8">
        <w:trPr>
          <w:trHeight w:val="1039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F2CA5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067FF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商业经营条件的契合度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261FF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1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0</w:t>
            </w:r>
            <w:r w:rsidRPr="00B92A38">
              <w:rPr>
                <w:rFonts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674F6" w14:textId="2213E700" w:rsidR="00EF2649" w:rsidRPr="00B92A38" w:rsidRDefault="00000000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从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响应</w:t>
            </w:r>
            <w:r w:rsidRPr="00B92A38">
              <w:rPr>
                <w:rFonts w:ascii="宋体" w:hAnsi="宋体" w:cs="宋体"/>
                <w:kern w:val="0"/>
                <w:sz w:val="24"/>
              </w:rPr>
              <w:t>人申请的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经营所需附加</w:t>
            </w:r>
            <w:r w:rsidRPr="00B92A38">
              <w:rPr>
                <w:rFonts w:ascii="宋体" w:hAnsi="宋体" w:cs="宋体"/>
                <w:kern w:val="0"/>
                <w:sz w:val="24"/>
              </w:rPr>
              <w:t>要求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（用电、用水、通风、排污、其他等方面）</w:t>
            </w:r>
            <w:r w:rsidRPr="00B92A38">
              <w:rPr>
                <w:rFonts w:ascii="宋体" w:hAnsi="宋体" w:cs="宋体"/>
                <w:kern w:val="0"/>
                <w:sz w:val="24"/>
              </w:rPr>
              <w:t>与本项目商业规划定位的符合度等方面进行评议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="00A53691" w:rsidRPr="00B92A38">
              <w:rPr>
                <w:rFonts w:ascii="宋体" w:hAnsi="宋体" w:cs="宋体" w:hint="eastAsia"/>
                <w:kern w:val="0"/>
                <w:sz w:val="24"/>
              </w:rPr>
              <w:t>完全符合规划条件的得10分，有额外需求且能够满足的得5分，不能够满足额外需求的得1分</w:t>
            </w:r>
            <w:r w:rsidRPr="00B92A38">
              <w:rPr>
                <w:rFonts w:ascii="宋体" w:hAnsi="宋体" w:cs="宋体"/>
                <w:kern w:val="0"/>
                <w:sz w:val="24"/>
              </w:rPr>
              <w:t xml:space="preserve">。 </w:t>
            </w:r>
          </w:p>
        </w:tc>
      </w:tr>
      <w:tr w:rsidR="00B92A38" w:rsidRPr="00B92A38" w14:paraId="2C383085" w14:textId="77777777" w:rsidTr="004B0AD8">
        <w:trPr>
          <w:trHeight w:val="800"/>
          <w:jc w:val="center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A2FC9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FDC5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环境友好度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F60E9" w14:textId="17DF4363" w:rsidR="00EF2649" w:rsidRPr="00B92A38" w:rsidRDefault="00A5369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10</w:t>
            </w:r>
            <w:r w:rsidR="004B0AD8" w:rsidRPr="00B92A38">
              <w:rPr>
                <w:rFonts w:ascii="宋体" w:hAnsi="宋体" w:cs="宋体"/>
                <w:kern w:val="0"/>
                <w:sz w:val="24"/>
              </w:rPr>
              <w:t>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58551" w14:textId="282D34BD" w:rsidR="00EF2649" w:rsidRPr="00B92A38" w:rsidRDefault="00000000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对响应</w:t>
            </w:r>
            <w:r w:rsidRPr="00B92A38">
              <w:rPr>
                <w:rFonts w:ascii="宋体" w:hAnsi="宋体" w:cs="宋体"/>
                <w:kern w:val="0"/>
                <w:sz w:val="24"/>
              </w:rPr>
              <w:t>人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经营中所需的能源消耗进行评议，</w:t>
            </w:r>
            <w:r w:rsidRPr="00B92A38">
              <w:rPr>
                <w:rFonts w:ascii="宋体" w:hAnsi="宋体" w:cs="宋体"/>
                <w:kern w:val="0"/>
                <w:sz w:val="24"/>
              </w:rPr>
              <w:t>好的得</w:t>
            </w:r>
            <w:r w:rsidR="00A53691" w:rsidRPr="00B92A38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B92A38">
              <w:rPr>
                <w:rFonts w:ascii="宋体" w:hAnsi="宋体" w:cs="宋体"/>
                <w:kern w:val="0"/>
                <w:sz w:val="24"/>
              </w:rPr>
              <w:t>分，较好的得</w:t>
            </w:r>
            <w:r w:rsidR="00076D54" w:rsidRPr="00B92A38">
              <w:rPr>
                <w:rFonts w:ascii="宋体" w:hAnsi="宋体" w:cs="宋体" w:hint="eastAsia"/>
                <w:kern w:val="0"/>
                <w:sz w:val="24"/>
              </w:rPr>
              <w:t>3</w:t>
            </w:r>
            <w:r w:rsidRPr="00B92A38">
              <w:rPr>
                <w:rFonts w:ascii="宋体" w:hAnsi="宋体" w:cs="宋体"/>
                <w:kern w:val="0"/>
                <w:sz w:val="24"/>
              </w:rPr>
              <w:t>分，一般的得</w:t>
            </w:r>
            <w:r w:rsidR="00A53691" w:rsidRPr="00B92A38"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Pr="00B92A38">
              <w:rPr>
                <w:rFonts w:ascii="宋体" w:hAnsi="宋体" w:cs="宋体"/>
                <w:kern w:val="0"/>
                <w:sz w:val="24"/>
              </w:rPr>
              <w:t>分。</w:t>
            </w:r>
          </w:p>
        </w:tc>
      </w:tr>
      <w:tr w:rsidR="00B92A38" w:rsidRPr="00B92A38" w14:paraId="5A0B1065" w14:textId="77777777" w:rsidTr="004B0AD8">
        <w:trPr>
          <w:trHeight w:val="800"/>
          <w:jc w:val="center"/>
        </w:trPr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2BB9" w14:textId="77777777" w:rsidR="00EF2649" w:rsidRPr="00B92A38" w:rsidRDefault="00EF26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5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BFDAC" w14:textId="77777777" w:rsidR="00EF2649" w:rsidRPr="00B92A38" w:rsidRDefault="00EF26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4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826F" w14:textId="77777777" w:rsidR="00EF2649" w:rsidRPr="00B92A38" w:rsidRDefault="00EF2649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BA9B9" w14:textId="0B7ECBAC" w:rsidR="00EF2649" w:rsidRPr="00B92A38" w:rsidRDefault="00000000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从响应人经营中所需的经营环境要求、三废排放等方面的友好程度进行评议，</w:t>
            </w:r>
            <w:r w:rsidRPr="00B92A38">
              <w:rPr>
                <w:rFonts w:ascii="宋体" w:hAnsi="宋体" w:cs="宋体"/>
                <w:kern w:val="0"/>
                <w:sz w:val="24"/>
              </w:rPr>
              <w:t>好的得</w:t>
            </w:r>
            <w:r w:rsidR="00A53691" w:rsidRPr="00B92A38"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B92A38">
              <w:rPr>
                <w:rFonts w:ascii="宋体" w:hAnsi="宋体" w:cs="宋体"/>
                <w:kern w:val="0"/>
                <w:sz w:val="24"/>
              </w:rPr>
              <w:t>分，较好的得</w:t>
            </w:r>
            <w:r w:rsidR="004B0AD8" w:rsidRPr="00B92A38">
              <w:rPr>
                <w:rFonts w:ascii="宋体" w:hAnsi="宋体" w:cs="宋体" w:hint="eastAsia"/>
                <w:kern w:val="0"/>
                <w:sz w:val="24"/>
              </w:rPr>
              <w:t>3</w:t>
            </w:r>
            <w:r w:rsidRPr="00B92A38">
              <w:rPr>
                <w:rFonts w:ascii="宋体" w:hAnsi="宋体" w:cs="宋体"/>
                <w:kern w:val="0"/>
                <w:sz w:val="24"/>
              </w:rPr>
              <w:t>分，一般的得</w:t>
            </w:r>
            <w:r w:rsidR="00A53691" w:rsidRPr="00B92A38">
              <w:rPr>
                <w:rFonts w:ascii="宋体" w:hAnsi="宋体" w:cs="宋体" w:hint="eastAsia"/>
                <w:kern w:val="0"/>
                <w:sz w:val="24"/>
              </w:rPr>
              <w:t>1</w:t>
            </w:r>
            <w:r w:rsidRPr="00B92A38">
              <w:rPr>
                <w:rFonts w:ascii="宋体" w:hAnsi="宋体" w:cs="宋体"/>
                <w:kern w:val="0"/>
                <w:sz w:val="24"/>
              </w:rPr>
              <w:t xml:space="preserve">分。 </w:t>
            </w:r>
          </w:p>
        </w:tc>
      </w:tr>
      <w:tr w:rsidR="00B92A38" w:rsidRPr="00B92A38" w14:paraId="447BF0F0" w14:textId="77777777" w:rsidTr="004B0AD8">
        <w:trPr>
          <w:trHeight w:val="800"/>
          <w:jc w:val="center"/>
        </w:trPr>
        <w:tc>
          <w:tcPr>
            <w:tcW w:w="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719B" w14:textId="61D6F9FB" w:rsidR="006F6C27" w:rsidRPr="00B92A38" w:rsidRDefault="006F6C27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5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320FF" w14:textId="37C8397E" w:rsidR="006F6C27" w:rsidRPr="00B92A38" w:rsidRDefault="006F6C27" w:rsidP="0077060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分割方案</w:t>
            </w:r>
          </w:p>
        </w:tc>
        <w:tc>
          <w:tcPr>
            <w:tcW w:w="4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5C0BD" w14:textId="440718A1" w:rsidR="006F6C27" w:rsidRPr="00B92A38" w:rsidRDefault="00A53691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8</w:t>
            </w:r>
            <w:r w:rsidR="004B0AD8" w:rsidRPr="00B92A38">
              <w:rPr>
                <w:rFonts w:ascii="宋体" w:hAnsi="宋体" w:cs="宋体" w:hint="eastAsia"/>
                <w:kern w:val="0"/>
                <w:sz w:val="24"/>
              </w:rPr>
              <w:t>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FCDEF" w14:textId="0CD31AF3" w:rsidR="006F6C27" w:rsidRPr="00B92A38" w:rsidRDefault="00A53691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整间商铺承包经营</w:t>
            </w:r>
            <w:r w:rsidR="006F6C27" w:rsidRPr="00B92A38">
              <w:rPr>
                <w:rFonts w:ascii="宋体" w:hAnsi="宋体" w:cs="宋体" w:hint="eastAsia"/>
                <w:kern w:val="0"/>
                <w:sz w:val="24"/>
              </w:rPr>
              <w:t>的得满分，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需要分割承包经营且不影响后续承包经营的得4分，</w:t>
            </w:r>
            <w:r w:rsidR="009A2292" w:rsidRPr="00B92A38">
              <w:rPr>
                <w:rFonts w:ascii="宋体" w:hAnsi="宋体" w:cs="宋体" w:hint="eastAsia"/>
                <w:kern w:val="0"/>
                <w:sz w:val="24"/>
              </w:rPr>
              <w:t>若采用</w:t>
            </w:r>
            <w:r w:rsidR="00770601" w:rsidRPr="00B92A38">
              <w:rPr>
                <w:rFonts w:ascii="宋体" w:hAnsi="宋体" w:cs="宋体" w:hint="eastAsia"/>
                <w:kern w:val="0"/>
                <w:sz w:val="24"/>
              </w:rPr>
              <w:t>分割方案且方案不合理的此项不得分。</w:t>
            </w:r>
          </w:p>
        </w:tc>
      </w:tr>
      <w:tr w:rsidR="00B92A38" w:rsidRPr="00B92A38" w14:paraId="04E1FDEB" w14:textId="77777777" w:rsidTr="004B0AD8">
        <w:trPr>
          <w:trHeight w:val="80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0EBFF" w14:textId="4027CEE7" w:rsidR="00EF2649" w:rsidRPr="00B92A38" w:rsidRDefault="004B0AD8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A98C2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经营权承包费得分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345E2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30分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CF3D" w14:textId="51D40F21" w:rsidR="00EF2649" w:rsidRPr="00B92A38" w:rsidRDefault="00000000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经营权承包费基准价不低于1.</w:t>
            </w:r>
            <w:r w:rsidR="006E7536" w:rsidRPr="00B92A38">
              <w:rPr>
                <w:rFonts w:ascii="宋体" w:hAnsi="宋体" w:cs="宋体" w:hint="eastAsia"/>
                <w:kern w:val="0"/>
                <w:sz w:val="24"/>
              </w:rPr>
              <w:t>8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元/平方米/日的商铺，响应单价每增加0.1元，增加1分。经营权承包费2.</w:t>
            </w:r>
            <w:r w:rsidR="006E7536" w:rsidRPr="00B92A38">
              <w:rPr>
                <w:rFonts w:ascii="宋体" w:hAnsi="宋体" w:cs="宋体" w:hint="eastAsia"/>
                <w:kern w:val="0"/>
                <w:sz w:val="24"/>
              </w:rPr>
              <w:t>8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元/平方米/日可得满分30分（经营权承包费超过2.</w:t>
            </w:r>
            <w:r w:rsidR="006E7536" w:rsidRPr="00B92A38">
              <w:rPr>
                <w:rFonts w:ascii="宋体" w:hAnsi="宋体" w:cs="宋体" w:hint="eastAsia"/>
                <w:kern w:val="0"/>
                <w:sz w:val="24"/>
              </w:rPr>
              <w:t>8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元/平方米/日的得分按30分计）。</w:t>
            </w:r>
          </w:p>
          <w:p w14:paraId="55AC4369" w14:textId="597AC20F" w:rsidR="00EF2649" w:rsidRPr="00B92A38" w:rsidRDefault="00000000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经营权承包费基准价不低于</w:t>
            </w:r>
            <w:r w:rsidR="006F6C27" w:rsidRPr="00B92A38">
              <w:rPr>
                <w:rFonts w:ascii="宋体" w:hAnsi="宋体" w:cs="宋体"/>
                <w:kern w:val="0"/>
                <w:sz w:val="24"/>
              </w:rPr>
              <w:t>1.85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元/平方米/日的商铺，在此基础上，单价每增加0.1元，增加1分。经营权承包费</w:t>
            </w:r>
            <w:r w:rsidR="006F6C27" w:rsidRPr="00B92A38">
              <w:rPr>
                <w:rFonts w:ascii="宋体" w:hAnsi="宋体" w:cs="宋体" w:hint="eastAsia"/>
                <w:kern w:val="0"/>
                <w:sz w:val="24"/>
              </w:rPr>
              <w:t>2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.</w:t>
            </w:r>
            <w:r w:rsidR="006F6C27" w:rsidRPr="00B92A38">
              <w:rPr>
                <w:rFonts w:ascii="宋体" w:hAnsi="宋体" w:cs="宋体" w:hint="eastAsia"/>
                <w:kern w:val="0"/>
                <w:sz w:val="24"/>
              </w:rPr>
              <w:t>85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元/平方米/日可得满分30分（经营权承包费超过</w:t>
            </w:r>
            <w:r w:rsidR="006F6C27" w:rsidRPr="00B92A38">
              <w:rPr>
                <w:rFonts w:ascii="宋体" w:hAnsi="宋体" w:cs="宋体" w:hint="eastAsia"/>
                <w:kern w:val="0"/>
                <w:sz w:val="24"/>
              </w:rPr>
              <w:t>2.85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元/平方米/日的得分按30分计）。</w:t>
            </w:r>
          </w:p>
          <w:p w14:paraId="4CA2ED35" w14:textId="4A696A19" w:rsidR="006F6C27" w:rsidRPr="00B92A38" w:rsidRDefault="006F6C27" w:rsidP="006F6C27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经营权承包费基准价不低于</w:t>
            </w:r>
            <w:r w:rsidRPr="00B92A38">
              <w:rPr>
                <w:rFonts w:ascii="宋体" w:hAnsi="宋体" w:cs="宋体"/>
                <w:kern w:val="0"/>
                <w:sz w:val="24"/>
              </w:rPr>
              <w:t>2.2</w:t>
            </w:r>
            <w:r w:rsidRPr="00B92A38">
              <w:rPr>
                <w:rFonts w:ascii="宋体" w:hAnsi="宋体" w:cs="宋体" w:hint="eastAsia"/>
                <w:kern w:val="0"/>
                <w:sz w:val="24"/>
              </w:rPr>
              <w:t>元/平方米/日的商铺，响应单价每增加0.1元，增加1分。经营权承包费3.2元/平方米/日可得满分30分（经营权承包费超过3.2元/平方米/日的得分按30分计）。</w:t>
            </w:r>
          </w:p>
          <w:p w14:paraId="2172F0D5" w14:textId="3D661EA6" w:rsidR="006F6C27" w:rsidRPr="00B92A38" w:rsidRDefault="006F6C27" w:rsidP="006F6C27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经营权承包费基准价不低于2.5元/平方米/日的商铺，响应单价每增加0.1元，增加1分。经营权承包费3.5元/平方米/日可得满分30分（经营权承包费超过3.5元/平方米/日的得分按30分计）。</w:t>
            </w:r>
          </w:p>
          <w:p w14:paraId="32370C5C" w14:textId="1013B28B" w:rsidR="006F6C27" w:rsidRPr="00B92A38" w:rsidRDefault="006F6C27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凡不低于响应基准价得20分。</w:t>
            </w:r>
          </w:p>
        </w:tc>
      </w:tr>
      <w:tr w:rsidR="00EF2649" w:rsidRPr="00B92A38" w14:paraId="33AA2F9C" w14:textId="77777777" w:rsidTr="004B0AD8">
        <w:trPr>
          <w:trHeight w:val="80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6C156" w14:textId="7CD30CDA" w:rsidR="00EF2649" w:rsidRPr="00B92A38" w:rsidRDefault="004B0AD8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FD74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 w:hint="eastAsia"/>
                <w:kern w:val="0"/>
                <w:sz w:val="24"/>
              </w:rPr>
              <w:t>汇总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EEC55" w14:textId="77777777" w:rsidR="00EF2649" w:rsidRPr="00B92A38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B92A38">
              <w:rPr>
                <w:rFonts w:ascii="宋体" w:hAnsi="宋体" w:cs="宋体"/>
                <w:kern w:val="0"/>
                <w:sz w:val="24"/>
              </w:rPr>
              <w:t>100分</w:t>
            </w:r>
          </w:p>
        </w:tc>
        <w:tc>
          <w:tcPr>
            <w:tcW w:w="3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D64A0" w14:textId="77777777" w:rsidR="00EF2649" w:rsidRPr="00B92A38" w:rsidRDefault="00EF2649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14:paraId="22F13337" w14:textId="77777777" w:rsidR="00EF2649" w:rsidRPr="00B92A38" w:rsidRDefault="00EF2649"/>
    <w:p w14:paraId="1A4679A8" w14:textId="465DB044" w:rsidR="006F6C27" w:rsidRPr="00B92A38" w:rsidRDefault="00000000">
      <w:pPr>
        <w:pStyle w:val="Default"/>
        <w:spacing w:line="560" w:lineRule="exact"/>
        <w:rPr>
          <w:rFonts w:ascii="仿宋_GB2312" w:eastAsia="仿宋_GB2312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注：</w:t>
      </w:r>
      <w:r w:rsidRPr="00B92A38">
        <w:rPr>
          <w:rFonts w:ascii="仿宋_GB2312" w:eastAsia="仿宋_GB2312" w:hAnsi="仿宋" w:hint="eastAsia"/>
          <w:color w:val="auto"/>
          <w:sz w:val="32"/>
          <w:szCs w:val="32"/>
        </w:rPr>
        <w:t>经营权承包费得分满分为3</w:t>
      </w:r>
      <w:r w:rsidRPr="00B92A38">
        <w:rPr>
          <w:rFonts w:ascii="仿宋_GB2312" w:eastAsia="仿宋_GB2312" w:hAnsi="仿宋"/>
          <w:color w:val="auto"/>
          <w:sz w:val="32"/>
          <w:szCs w:val="32"/>
        </w:rPr>
        <w:t>0</w:t>
      </w:r>
      <w:r w:rsidRPr="00B92A38">
        <w:rPr>
          <w:rFonts w:ascii="仿宋_GB2312" w:eastAsia="仿宋_GB2312" w:hAnsi="仿宋" w:hint="eastAsia"/>
          <w:color w:val="auto"/>
          <w:sz w:val="32"/>
          <w:szCs w:val="32"/>
        </w:rPr>
        <w:t>分，响应报价超过最高承包费的，在商务技术部分得分相同的情况下，优先选择最高响应报价人。</w:t>
      </w:r>
    </w:p>
    <w:p w14:paraId="133FE7F7" w14:textId="77777777" w:rsidR="006F6C27" w:rsidRPr="00B92A38" w:rsidRDefault="006F6C27">
      <w:pPr>
        <w:widowControl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B92A38">
        <w:rPr>
          <w:rFonts w:ascii="仿宋_GB2312" w:eastAsia="仿宋_GB2312" w:hAnsi="仿宋" w:hint="eastAsia"/>
          <w:sz w:val="32"/>
          <w:szCs w:val="32"/>
        </w:rPr>
        <w:br w:type="page"/>
      </w:r>
    </w:p>
    <w:p w14:paraId="15B2983E" w14:textId="2D623416" w:rsidR="006F6C27" w:rsidRPr="00B92A38" w:rsidRDefault="006F6C27" w:rsidP="006F6C27">
      <w:pPr>
        <w:spacing w:line="560" w:lineRule="exact"/>
        <w:jc w:val="center"/>
        <w:rPr>
          <w:rFonts w:ascii="方正小标宋简体" w:eastAsia="方正小标宋简体" w:hAnsi="华文中宋" w:cs="宋体" w:hint="eastAsia"/>
          <w:bCs/>
          <w:sz w:val="36"/>
          <w:szCs w:val="36"/>
        </w:rPr>
      </w:pPr>
      <w:r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lastRenderedPageBreak/>
        <w:t>南通市崇川区任港路停车楼商业区商铺二期招商征集包</w:t>
      </w:r>
      <w:r w:rsidR="007A14A9"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件</w:t>
      </w:r>
      <w:r w:rsidR="004B0AD8"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二</w:t>
      </w:r>
      <w:r w:rsidRPr="00B92A38">
        <w:rPr>
          <w:rFonts w:ascii="方正小标宋简体" w:eastAsia="方正小标宋简体" w:hAnsi="华文中宋" w:cs="宋体" w:hint="eastAsia"/>
          <w:bCs/>
          <w:sz w:val="36"/>
          <w:szCs w:val="36"/>
        </w:rPr>
        <w:t>评审办法</w:t>
      </w:r>
    </w:p>
    <w:p w14:paraId="7F874E1F" w14:textId="77777777" w:rsidR="006F6C27" w:rsidRPr="00B92A38" w:rsidRDefault="006F6C27" w:rsidP="006F6C27">
      <w:pPr>
        <w:pStyle w:val="Default"/>
        <w:spacing w:line="560" w:lineRule="exact"/>
        <w:rPr>
          <w:rFonts w:ascii="仿宋" w:eastAsia="仿宋" w:hAnsi="仿宋" w:hint="eastAsia"/>
          <w:color w:val="auto"/>
          <w:sz w:val="32"/>
          <w:szCs w:val="32"/>
        </w:rPr>
      </w:pPr>
    </w:p>
    <w:p w14:paraId="04CD0608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黑体" w:eastAsia="黑体" w:hAnsi="黑体" w:hint="eastAsia"/>
          <w:bCs/>
          <w:color w:val="auto"/>
          <w:sz w:val="32"/>
          <w:szCs w:val="32"/>
        </w:rPr>
      </w:pPr>
      <w:r w:rsidRPr="00B92A38">
        <w:rPr>
          <w:rFonts w:ascii="黑体" w:eastAsia="黑体" w:hAnsi="黑体" w:hint="eastAsia"/>
          <w:bCs/>
          <w:color w:val="auto"/>
          <w:sz w:val="32"/>
          <w:szCs w:val="32"/>
        </w:rPr>
        <w:t>一、评审组织</w:t>
      </w:r>
    </w:p>
    <w:p w14:paraId="486D23AB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1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、组织机构：由征集人按规定组成评审小组开展评审。</w:t>
      </w:r>
    </w:p>
    <w:p w14:paraId="1DFE2AE5" w14:textId="36725CF8" w:rsidR="006F6C27" w:rsidRPr="00B92A38" w:rsidRDefault="006F6C27" w:rsidP="006F6C27">
      <w:pPr>
        <w:pStyle w:val="Default"/>
        <w:spacing w:line="560" w:lineRule="exact"/>
        <w:ind w:leftChars="152" w:left="319" w:firstLineChars="100" w:firstLine="32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2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、报名及递交文件时间：2024年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8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月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1</w:t>
      </w:r>
      <w:r w:rsidR="00CE198D">
        <w:rPr>
          <w:rFonts w:ascii="仿宋" w:eastAsia="仿宋" w:hAnsi="仿宋" w:hint="eastAsia"/>
          <w:color w:val="auto"/>
          <w:sz w:val="32"/>
          <w:szCs w:val="32"/>
        </w:rPr>
        <w:t>5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 xml:space="preserve">日至2024年   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8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月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2</w:t>
      </w:r>
      <w:r w:rsidR="00CE198D">
        <w:rPr>
          <w:rFonts w:ascii="仿宋" w:eastAsia="仿宋" w:hAnsi="仿宋" w:hint="eastAsia"/>
          <w:color w:val="auto"/>
          <w:sz w:val="32"/>
          <w:szCs w:val="32"/>
        </w:rPr>
        <w:t>6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日。</w:t>
      </w:r>
    </w:p>
    <w:p w14:paraId="3AC04984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3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、评审地点：南通国有不动产经营管理有限公司会议室。</w:t>
      </w:r>
    </w:p>
    <w:p w14:paraId="7DD11AE0" w14:textId="3B196EC6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4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、评审对象：2024年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8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月</w:t>
      </w:r>
      <w:r w:rsidR="00B92A38" w:rsidRPr="00B92A38">
        <w:rPr>
          <w:rFonts w:ascii="仿宋" w:eastAsia="仿宋" w:hAnsi="仿宋" w:hint="eastAsia"/>
          <w:color w:val="auto"/>
          <w:sz w:val="32"/>
          <w:szCs w:val="32"/>
        </w:rPr>
        <w:t>2</w:t>
      </w:r>
      <w:r w:rsidR="00CE198D">
        <w:rPr>
          <w:rFonts w:ascii="仿宋" w:eastAsia="仿宋" w:hAnsi="仿宋" w:hint="eastAsia"/>
          <w:color w:val="auto"/>
          <w:sz w:val="32"/>
          <w:szCs w:val="32"/>
        </w:rPr>
        <w:t>6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日下午17：00时前提交有效报名资料和响应文件的征集响应人。</w:t>
      </w:r>
    </w:p>
    <w:p w14:paraId="5A00FFFB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5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、组织纪律：坚持公平、公正和诚实信用原则，按照本评审办法对全部响应人进行综合评审。</w:t>
      </w:r>
    </w:p>
    <w:p w14:paraId="73691CB8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6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、评审过程中，不得接收响应人递交的补充材料。</w:t>
      </w:r>
    </w:p>
    <w:p w14:paraId="227FA533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7、评审相关信息需全程保密，不得泄漏。</w:t>
      </w:r>
    </w:p>
    <w:p w14:paraId="15F14DCD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黑体" w:eastAsia="黑体" w:hAnsi="黑体" w:hint="eastAsia"/>
          <w:bCs/>
          <w:color w:val="auto"/>
          <w:sz w:val="32"/>
          <w:szCs w:val="32"/>
        </w:rPr>
      </w:pPr>
      <w:r w:rsidRPr="00B92A38">
        <w:rPr>
          <w:rFonts w:ascii="黑体" w:eastAsia="黑体" w:hAnsi="黑体" w:hint="eastAsia"/>
          <w:bCs/>
          <w:color w:val="auto"/>
          <w:sz w:val="32"/>
          <w:szCs w:val="32"/>
        </w:rPr>
        <w:t>二、评审程序</w:t>
      </w:r>
    </w:p>
    <w:p w14:paraId="654274C2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由评审小组组长主持招商评审会议，组织开展评审工作：</w:t>
      </w:r>
    </w:p>
    <w:p w14:paraId="418614A9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1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、评审小组全体成员熟悉本次征集项目的内容、要求、商业规划和评审办法;</w:t>
      </w:r>
    </w:p>
    <w:p w14:paraId="4FD37D99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2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、核对全部响应材料名录;</w:t>
      </w:r>
    </w:p>
    <w:p w14:paraId="7F862720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3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、查验响应资料的密封性、完整性;</w:t>
      </w:r>
    </w:p>
    <w:p w14:paraId="589800F1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t>4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、开封响应材料;</w:t>
      </w:r>
    </w:p>
    <w:p w14:paraId="5A690361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/>
          <w:color w:val="auto"/>
          <w:sz w:val="32"/>
          <w:szCs w:val="32"/>
        </w:rPr>
        <w:lastRenderedPageBreak/>
        <w:t>5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、统计响应材料；</w:t>
      </w:r>
    </w:p>
    <w:p w14:paraId="09B37450" w14:textId="5CBB1FAE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6、</w:t>
      </w:r>
      <w:r w:rsidR="003923C5" w:rsidRPr="00B92A38">
        <w:rPr>
          <w:rFonts w:ascii="仿宋" w:eastAsia="仿宋" w:hAnsi="仿宋" w:hint="eastAsia"/>
          <w:color w:val="auto"/>
          <w:sz w:val="32"/>
          <w:szCs w:val="32"/>
        </w:rPr>
        <w:t>采用最高价中标法；</w:t>
      </w:r>
    </w:p>
    <w:p w14:paraId="429E50FF" w14:textId="164E4FDF" w:rsidR="006F6C27" w:rsidRPr="00B92A38" w:rsidRDefault="003923C5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7</w:t>
      </w:r>
      <w:r w:rsidR="006F6C27" w:rsidRPr="00B92A38">
        <w:rPr>
          <w:rFonts w:ascii="仿宋" w:eastAsia="仿宋" w:hAnsi="仿宋" w:hint="eastAsia"/>
          <w:color w:val="auto"/>
          <w:sz w:val="32"/>
          <w:szCs w:val="32"/>
        </w:rPr>
        <w:t>、评审小组对响应人进行</w:t>
      </w:r>
      <w:r w:rsidRPr="00B92A38">
        <w:rPr>
          <w:rFonts w:ascii="仿宋" w:eastAsia="仿宋" w:hAnsi="仿宋" w:hint="eastAsia"/>
          <w:color w:val="auto"/>
          <w:sz w:val="32"/>
          <w:szCs w:val="32"/>
        </w:rPr>
        <w:t>报价</w:t>
      </w:r>
      <w:r w:rsidR="006F6C27" w:rsidRPr="00B92A38">
        <w:rPr>
          <w:rFonts w:ascii="仿宋" w:eastAsia="仿宋" w:hAnsi="仿宋" w:hint="eastAsia"/>
          <w:color w:val="auto"/>
          <w:sz w:val="32"/>
          <w:szCs w:val="32"/>
        </w:rPr>
        <w:t>由高到低排名，取前三名为中标候选人，如第一中标人弃权，则由第二名中标，依此类推；</w:t>
      </w:r>
    </w:p>
    <w:p w14:paraId="4E961E61" w14:textId="49133525" w:rsidR="006F6C27" w:rsidRPr="00B92A38" w:rsidRDefault="003923C5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8</w:t>
      </w:r>
      <w:r w:rsidR="006F6C27" w:rsidRPr="00B92A38">
        <w:rPr>
          <w:rFonts w:ascii="仿宋" w:eastAsia="仿宋" w:hAnsi="仿宋" w:hint="eastAsia"/>
          <w:color w:val="auto"/>
          <w:sz w:val="32"/>
          <w:szCs w:val="32"/>
        </w:rPr>
        <w:t>、评审小组汇总评审结果；</w:t>
      </w:r>
    </w:p>
    <w:p w14:paraId="70183D9C" w14:textId="456724EA" w:rsidR="006F6C27" w:rsidRPr="00B92A38" w:rsidRDefault="003923C5" w:rsidP="006F6C27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9</w:t>
      </w:r>
      <w:r w:rsidR="006F6C27" w:rsidRPr="00B92A38">
        <w:rPr>
          <w:rFonts w:ascii="仿宋" w:eastAsia="仿宋" w:hAnsi="仿宋" w:hint="eastAsia"/>
          <w:color w:val="auto"/>
          <w:sz w:val="32"/>
          <w:szCs w:val="32"/>
        </w:rPr>
        <w:t>、评审小组将评审结果在集团官网进行公示；</w:t>
      </w:r>
    </w:p>
    <w:p w14:paraId="6D0089B9" w14:textId="77777777" w:rsidR="006F6C27" w:rsidRPr="00B92A38" w:rsidRDefault="006F6C27" w:rsidP="006F6C27">
      <w:pPr>
        <w:pStyle w:val="Default"/>
        <w:spacing w:line="560" w:lineRule="exact"/>
        <w:ind w:firstLineChars="200" w:firstLine="640"/>
        <w:rPr>
          <w:rFonts w:ascii="黑体" w:eastAsia="黑体" w:hAnsi="黑体" w:hint="eastAsia"/>
          <w:bCs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注：全部评审过程形成书面记录，留档保存。</w:t>
      </w:r>
    </w:p>
    <w:p w14:paraId="48B06861" w14:textId="77777777" w:rsidR="006F6C27" w:rsidRPr="00B92A38" w:rsidRDefault="006F6C27" w:rsidP="006F6C27">
      <w:pPr>
        <w:pStyle w:val="Default"/>
        <w:numPr>
          <w:ilvl w:val="0"/>
          <w:numId w:val="1"/>
        </w:numPr>
        <w:spacing w:line="560" w:lineRule="exact"/>
        <w:rPr>
          <w:rFonts w:ascii="黑体" w:eastAsia="黑体" w:hAnsi="黑体" w:hint="eastAsia"/>
          <w:bCs/>
          <w:color w:val="auto"/>
          <w:sz w:val="32"/>
          <w:szCs w:val="32"/>
        </w:rPr>
      </w:pPr>
      <w:r w:rsidRPr="00B92A38">
        <w:rPr>
          <w:rFonts w:ascii="黑体" w:eastAsia="黑体" w:hAnsi="黑体" w:hint="eastAsia"/>
          <w:bCs/>
          <w:color w:val="auto"/>
          <w:sz w:val="32"/>
          <w:szCs w:val="32"/>
        </w:rPr>
        <w:t>评审标准</w:t>
      </w:r>
    </w:p>
    <w:p w14:paraId="2B695DCD" w14:textId="56586DD7" w:rsidR="006F6C27" w:rsidRPr="00B92A38" w:rsidRDefault="003923C5" w:rsidP="003923C5">
      <w:pPr>
        <w:pStyle w:val="Default"/>
        <w:spacing w:line="560" w:lineRule="exact"/>
        <w:ind w:firstLineChars="200" w:firstLine="640"/>
        <w:rPr>
          <w:rFonts w:ascii="仿宋" w:eastAsia="仿宋" w:hAnsi="仿宋" w:hint="eastAsia"/>
          <w:color w:val="auto"/>
          <w:sz w:val="32"/>
          <w:szCs w:val="32"/>
        </w:rPr>
      </w:pPr>
      <w:r w:rsidRPr="00B92A38">
        <w:rPr>
          <w:rFonts w:ascii="仿宋" w:eastAsia="仿宋" w:hAnsi="仿宋" w:hint="eastAsia"/>
          <w:color w:val="auto"/>
          <w:sz w:val="32"/>
          <w:szCs w:val="32"/>
        </w:rPr>
        <w:t>最高价中标。</w:t>
      </w:r>
    </w:p>
    <w:p w14:paraId="0440571F" w14:textId="2C0A3B35" w:rsidR="006F6C27" w:rsidRPr="00B92A38" w:rsidRDefault="006F6C27" w:rsidP="006F6C27">
      <w:pPr>
        <w:pStyle w:val="Default"/>
        <w:spacing w:line="560" w:lineRule="exact"/>
        <w:rPr>
          <w:rFonts w:ascii="仿宋_GB2312" w:eastAsia="仿宋_GB2312" w:hAnsi="仿宋" w:hint="eastAsia"/>
          <w:color w:val="auto"/>
          <w:sz w:val="32"/>
          <w:szCs w:val="32"/>
        </w:rPr>
      </w:pPr>
      <w:r w:rsidRPr="00B92A38">
        <w:rPr>
          <w:rFonts w:ascii="仿宋_GB2312" w:eastAsia="仿宋_GB2312" w:hAnsi="仿宋" w:hint="eastAsia"/>
          <w:color w:val="auto"/>
          <w:sz w:val="32"/>
          <w:szCs w:val="32"/>
        </w:rPr>
        <w:t>注：在</w:t>
      </w:r>
      <w:r w:rsidR="003923C5" w:rsidRPr="00B92A38">
        <w:rPr>
          <w:rFonts w:ascii="仿宋_GB2312" w:eastAsia="仿宋_GB2312" w:hAnsi="仿宋" w:hint="eastAsia"/>
          <w:color w:val="auto"/>
          <w:sz w:val="32"/>
          <w:szCs w:val="32"/>
        </w:rPr>
        <w:t>最高报价</w:t>
      </w:r>
      <w:r w:rsidRPr="00B92A38">
        <w:rPr>
          <w:rFonts w:ascii="仿宋_GB2312" w:eastAsia="仿宋_GB2312" w:hAnsi="仿宋" w:hint="eastAsia"/>
          <w:color w:val="auto"/>
          <w:sz w:val="32"/>
          <w:szCs w:val="32"/>
        </w:rPr>
        <w:t>相同的情况下，</w:t>
      </w:r>
      <w:r w:rsidR="003923C5" w:rsidRPr="00B92A38">
        <w:rPr>
          <w:rFonts w:ascii="仿宋_GB2312" w:eastAsia="仿宋_GB2312" w:hAnsi="仿宋" w:hint="eastAsia"/>
          <w:color w:val="auto"/>
          <w:sz w:val="32"/>
          <w:szCs w:val="32"/>
        </w:rPr>
        <w:t>现场抽签决定</w:t>
      </w:r>
      <w:r w:rsidRPr="00B92A38">
        <w:rPr>
          <w:rFonts w:ascii="仿宋_GB2312" w:eastAsia="仿宋_GB2312" w:hAnsi="仿宋" w:hint="eastAsia"/>
          <w:color w:val="auto"/>
          <w:sz w:val="32"/>
          <w:szCs w:val="32"/>
        </w:rPr>
        <w:t>。</w:t>
      </w:r>
    </w:p>
    <w:p w14:paraId="335AE4FA" w14:textId="77777777" w:rsidR="006F6C27" w:rsidRPr="00B92A38" w:rsidRDefault="006F6C27" w:rsidP="006F6C27">
      <w:pPr>
        <w:pStyle w:val="Default"/>
        <w:spacing w:line="560" w:lineRule="exact"/>
        <w:rPr>
          <w:rFonts w:ascii="仿宋_GB2312" w:eastAsia="仿宋_GB2312" w:hAnsi="仿宋" w:hint="eastAsia"/>
          <w:color w:val="auto"/>
          <w:sz w:val="32"/>
          <w:szCs w:val="32"/>
        </w:rPr>
      </w:pPr>
    </w:p>
    <w:p w14:paraId="410F24CF" w14:textId="77777777" w:rsidR="006F6C27" w:rsidRPr="00B92A38" w:rsidRDefault="006F6C27" w:rsidP="006F6C27">
      <w:pPr>
        <w:pStyle w:val="Default"/>
        <w:spacing w:line="560" w:lineRule="exact"/>
        <w:rPr>
          <w:rFonts w:ascii="仿宋" w:eastAsia="仿宋" w:hAnsi="仿宋" w:hint="eastAsia"/>
          <w:color w:val="auto"/>
          <w:sz w:val="32"/>
          <w:szCs w:val="32"/>
        </w:rPr>
      </w:pPr>
    </w:p>
    <w:p w14:paraId="72807D8E" w14:textId="77777777" w:rsidR="00EF2649" w:rsidRPr="00B92A38" w:rsidRDefault="00EF2649">
      <w:pPr>
        <w:pStyle w:val="Default"/>
        <w:spacing w:line="560" w:lineRule="exact"/>
        <w:rPr>
          <w:rFonts w:ascii="仿宋_GB2312" w:eastAsia="仿宋_GB2312" w:hAnsi="仿宋" w:hint="eastAsia"/>
          <w:color w:val="auto"/>
          <w:sz w:val="32"/>
          <w:szCs w:val="32"/>
        </w:rPr>
      </w:pPr>
    </w:p>
    <w:p w14:paraId="1CB5F01C" w14:textId="77777777" w:rsidR="00EF2649" w:rsidRPr="00B92A38" w:rsidRDefault="00EF2649">
      <w:pPr>
        <w:pStyle w:val="Default"/>
        <w:spacing w:line="560" w:lineRule="exact"/>
        <w:rPr>
          <w:rFonts w:ascii="仿宋_GB2312" w:eastAsia="仿宋_GB2312" w:hAnsi="仿宋" w:hint="eastAsia"/>
          <w:color w:val="auto"/>
          <w:sz w:val="32"/>
          <w:szCs w:val="32"/>
        </w:rPr>
      </w:pPr>
    </w:p>
    <w:p w14:paraId="0AC91FFE" w14:textId="77777777" w:rsidR="00EF2649" w:rsidRPr="00B92A38" w:rsidRDefault="00EF2649">
      <w:pPr>
        <w:pStyle w:val="Default"/>
        <w:spacing w:line="560" w:lineRule="exact"/>
        <w:rPr>
          <w:rFonts w:ascii="仿宋" w:eastAsia="仿宋" w:hAnsi="仿宋" w:hint="eastAsia"/>
          <w:color w:val="auto"/>
          <w:sz w:val="32"/>
          <w:szCs w:val="32"/>
        </w:rPr>
      </w:pPr>
    </w:p>
    <w:sectPr w:rsidR="00EF2649" w:rsidRPr="00B92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C8E52" w14:textId="77777777" w:rsidR="003C4845" w:rsidRDefault="003C4845" w:rsidP="00D27E8A">
      <w:r>
        <w:separator/>
      </w:r>
    </w:p>
  </w:endnote>
  <w:endnote w:type="continuationSeparator" w:id="0">
    <w:p w14:paraId="24AC4870" w14:textId="77777777" w:rsidR="003C4845" w:rsidRDefault="003C4845" w:rsidP="00D2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42555" w14:textId="77777777" w:rsidR="003C4845" w:rsidRDefault="003C4845" w:rsidP="00D27E8A">
      <w:r>
        <w:separator/>
      </w:r>
    </w:p>
  </w:footnote>
  <w:footnote w:type="continuationSeparator" w:id="0">
    <w:p w14:paraId="72297D89" w14:textId="77777777" w:rsidR="003C4845" w:rsidRDefault="003C4845" w:rsidP="00D27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C653A5C"/>
    <w:multiLevelType w:val="singleLevel"/>
    <w:tmpl w:val="CC653A5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18295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NmOWE4OWVhOGFkZTdlYmZjODY5MDU5ODU0YWVkYTQifQ=="/>
  </w:docVars>
  <w:rsids>
    <w:rsidRoot w:val="00CC232F"/>
    <w:rsid w:val="00000A90"/>
    <w:rsid w:val="00032BA8"/>
    <w:rsid w:val="0004614A"/>
    <w:rsid w:val="000505DD"/>
    <w:rsid w:val="00056D78"/>
    <w:rsid w:val="0006085B"/>
    <w:rsid w:val="000629B7"/>
    <w:rsid w:val="00076D54"/>
    <w:rsid w:val="00082A08"/>
    <w:rsid w:val="00093FEA"/>
    <w:rsid w:val="000A50B9"/>
    <w:rsid w:val="000A5C4B"/>
    <w:rsid w:val="000A7261"/>
    <w:rsid w:val="000B7078"/>
    <w:rsid w:val="000B75E4"/>
    <w:rsid w:val="000D0212"/>
    <w:rsid w:val="000D7832"/>
    <w:rsid w:val="000E0302"/>
    <w:rsid w:val="000F0048"/>
    <w:rsid w:val="000F142D"/>
    <w:rsid w:val="001016A9"/>
    <w:rsid w:val="00136E5A"/>
    <w:rsid w:val="00156F92"/>
    <w:rsid w:val="00163661"/>
    <w:rsid w:val="00181DD9"/>
    <w:rsid w:val="001A5A3F"/>
    <w:rsid w:val="001A7FF9"/>
    <w:rsid w:val="001B5C33"/>
    <w:rsid w:val="001E2B52"/>
    <w:rsid w:val="001E7782"/>
    <w:rsid w:val="001F4E6D"/>
    <w:rsid w:val="001F599C"/>
    <w:rsid w:val="00253749"/>
    <w:rsid w:val="00284909"/>
    <w:rsid w:val="002A53D7"/>
    <w:rsid w:val="002D1920"/>
    <w:rsid w:val="002E1694"/>
    <w:rsid w:val="002E315A"/>
    <w:rsid w:val="00301D92"/>
    <w:rsid w:val="00330BDC"/>
    <w:rsid w:val="00337D6F"/>
    <w:rsid w:val="00345F5B"/>
    <w:rsid w:val="00355EDB"/>
    <w:rsid w:val="00357514"/>
    <w:rsid w:val="00361CE5"/>
    <w:rsid w:val="00382427"/>
    <w:rsid w:val="003915BA"/>
    <w:rsid w:val="003923C5"/>
    <w:rsid w:val="00392710"/>
    <w:rsid w:val="003C4397"/>
    <w:rsid w:val="003C4845"/>
    <w:rsid w:val="003C583C"/>
    <w:rsid w:val="003D1F73"/>
    <w:rsid w:val="00406BA2"/>
    <w:rsid w:val="00423DDF"/>
    <w:rsid w:val="00423E9C"/>
    <w:rsid w:val="00434476"/>
    <w:rsid w:val="00441607"/>
    <w:rsid w:val="00450879"/>
    <w:rsid w:val="0045669E"/>
    <w:rsid w:val="00476C2C"/>
    <w:rsid w:val="004A4913"/>
    <w:rsid w:val="004B0AD8"/>
    <w:rsid w:val="004B1481"/>
    <w:rsid w:val="004B4354"/>
    <w:rsid w:val="004D03FA"/>
    <w:rsid w:val="004D15E7"/>
    <w:rsid w:val="00521FA7"/>
    <w:rsid w:val="00525F51"/>
    <w:rsid w:val="00536A94"/>
    <w:rsid w:val="00537785"/>
    <w:rsid w:val="005456D1"/>
    <w:rsid w:val="00551D5D"/>
    <w:rsid w:val="005566D0"/>
    <w:rsid w:val="00560390"/>
    <w:rsid w:val="005900A2"/>
    <w:rsid w:val="00595598"/>
    <w:rsid w:val="005A1065"/>
    <w:rsid w:val="005B1CC1"/>
    <w:rsid w:val="005E19FD"/>
    <w:rsid w:val="005F2414"/>
    <w:rsid w:val="005F6D43"/>
    <w:rsid w:val="006359FF"/>
    <w:rsid w:val="00640DFC"/>
    <w:rsid w:val="00661F37"/>
    <w:rsid w:val="0066270A"/>
    <w:rsid w:val="00684986"/>
    <w:rsid w:val="00691F0F"/>
    <w:rsid w:val="006923C1"/>
    <w:rsid w:val="006B0C9A"/>
    <w:rsid w:val="006C3A54"/>
    <w:rsid w:val="006C3F94"/>
    <w:rsid w:val="006D189B"/>
    <w:rsid w:val="006E257D"/>
    <w:rsid w:val="006E7536"/>
    <w:rsid w:val="006F6C27"/>
    <w:rsid w:val="0070203E"/>
    <w:rsid w:val="00710D4C"/>
    <w:rsid w:val="00737012"/>
    <w:rsid w:val="00741CF2"/>
    <w:rsid w:val="00742016"/>
    <w:rsid w:val="00764EA8"/>
    <w:rsid w:val="00770601"/>
    <w:rsid w:val="00785F12"/>
    <w:rsid w:val="007A14A9"/>
    <w:rsid w:val="007B171B"/>
    <w:rsid w:val="007B5658"/>
    <w:rsid w:val="007B71B7"/>
    <w:rsid w:val="007C4AF5"/>
    <w:rsid w:val="007C5316"/>
    <w:rsid w:val="007D187B"/>
    <w:rsid w:val="007D2008"/>
    <w:rsid w:val="007D5D32"/>
    <w:rsid w:val="007E29E8"/>
    <w:rsid w:val="007E3F12"/>
    <w:rsid w:val="007F08DC"/>
    <w:rsid w:val="00801A33"/>
    <w:rsid w:val="00802AD9"/>
    <w:rsid w:val="00814B28"/>
    <w:rsid w:val="00821B78"/>
    <w:rsid w:val="008264C8"/>
    <w:rsid w:val="00835DA0"/>
    <w:rsid w:val="00836065"/>
    <w:rsid w:val="00855EAA"/>
    <w:rsid w:val="00856C4E"/>
    <w:rsid w:val="00881A0F"/>
    <w:rsid w:val="008B203D"/>
    <w:rsid w:val="008C2E23"/>
    <w:rsid w:val="008E0615"/>
    <w:rsid w:val="008E0D23"/>
    <w:rsid w:val="008E2A6E"/>
    <w:rsid w:val="008E31C3"/>
    <w:rsid w:val="008E4A7F"/>
    <w:rsid w:val="00920060"/>
    <w:rsid w:val="0095070D"/>
    <w:rsid w:val="00970BD7"/>
    <w:rsid w:val="00982DA1"/>
    <w:rsid w:val="009919EE"/>
    <w:rsid w:val="009A2292"/>
    <w:rsid w:val="009B429D"/>
    <w:rsid w:val="009E033E"/>
    <w:rsid w:val="00A00808"/>
    <w:rsid w:val="00A1789C"/>
    <w:rsid w:val="00A53691"/>
    <w:rsid w:val="00A76C8C"/>
    <w:rsid w:val="00A76CA9"/>
    <w:rsid w:val="00A808A0"/>
    <w:rsid w:val="00AB4E3C"/>
    <w:rsid w:val="00AC6E05"/>
    <w:rsid w:val="00AE57F9"/>
    <w:rsid w:val="00AF2219"/>
    <w:rsid w:val="00AF3275"/>
    <w:rsid w:val="00B06BA1"/>
    <w:rsid w:val="00B2656D"/>
    <w:rsid w:val="00B31456"/>
    <w:rsid w:val="00B34460"/>
    <w:rsid w:val="00B4022A"/>
    <w:rsid w:val="00B42184"/>
    <w:rsid w:val="00B570E5"/>
    <w:rsid w:val="00B63989"/>
    <w:rsid w:val="00B913F0"/>
    <w:rsid w:val="00B92A38"/>
    <w:rsid w:val="00BA0688"/>
    <w:rsid w:val="00BA0E7D"/>
    <w:rsid w:val="00BA394B"/>
    <w:rsid w:val="00BB70D9"/>
    <w:rsid w:val="00BD3BA1"/>
    <w:rsid w:val="00BF2299"/>
    <w:rsid w:val="00C12E7C"/>
    <w:rsid w:val="00C34804"/>
    <w:rsid w:val="00C451DF"/>
    <w:rsid w:val="00C45B1B"/>
    <w:rsid w:val="00C5140D"/>
    <w:rsid w:val="00C744D0"/>
    <w:rsid w:val="00C773A0"/>
    <w:rsid w:val="00C81DDF"/>
    <w:rsid w:val="00C85804"/>
    <w:rsid w:val="00C87258"/>
    <w:rsid w:val="00CB336C"/>
    <w:rsid w:val="00CB7E69"/>
    <w:rsid w:val="00CC0CB6"/>
    <w:rsid w:val="00CC232F"/>
    <w:rsid w:val="00CE0EC8"/>
    <w:rsid w:val="00CE198D"/>
    <w:rsid w:val="00CF6E3C"/>
    <w:rsid w:val="00D12E3C"/>
    <w:rsid w:val="00D20ECA"/>
    <w:rsid w:val="00D27555"/>
    <w:rsid w:val="00D27E8A"/>
    <w:rsid w:val="00D30267"/>
    <w:rsid w:val="00D51D70"/>
    <w:rsid w:val="00D65C11"/>
    <w:rsid w:val="00D8430E"/>
    <w:rsid w:val="00DB1B78"/>
    <w:rsid w:val="00DC1971"/>
    <w:rsid w:val="00DC311B"/>
    <w:rsid w:val="00DE3E27"/>
    <w:rsid w:val="00E02DD5"/>
    <w:rsid w:val="00E0445D"/>
    <w:rsid w:val="00E35A93"/>
    <w:rsid w:val="00E46A71"/>
    <w:rsid w:val="00E60A3B"/>
    <w:rsid w:val="00E70E64"/>
    <w:rsid w:val="00EA0486"/>
    <w:rsid w:val="00EA0FE6"/>
    <w:rsid w:val="00EA372F"/>
    <w:rsid w:val="00EB38B3"/>
    <w:rsid w:val="00EB60A6"/>
    <w:rsid w:val="00EE4808"/>
    <w:rsid w:val="00EF2649"/>
    <w:rsid w:val="00EF6D97"/>
    <w:rsid w:val="00F06F53"/>
    <w:rsid w:val="00F13E43"/>
    <w:rsid w:val="00F16EF0"/>
    <w:rsid w:val="00F26258"/>
    <w:rsid w:val="00F741B6"/>
    <w:rsid w:val="00F8639F"/>
    <w:rsid w:val="00F876D8"/>
    <w:rsid w:val="00F91284"/>
    <w:rsid w:val="00FA09F4"/>
    <w:rsid w:val="00FC1707"/>
    <w:rsid w:val="00FC2725"/>
    <w:rsid w:val="00FD1F81"/>
    <w:rsid w:val="00FE321E"/>
    <w:rsid w:val="00FE3E78"/>
    <w:rsid w:val="00FF5D92"/>
    <w:rsid w:val="07DF6EC4"/>
    <w:rsid w:val="08EF117E"/>
    <w:rsid w:val="0DC8754A"/>
    <w:rsid w:val="0FD3365B"/>
    <w:rsid w:val="106D53FC"/>
    <w:rsid w:val="1139444A"/>
    <w:rsid w:val="140F6EAA"/>
    <w:rsid w:val="16AA01C7"/>
    <w:rsid w:val="19507901"/>
    <w:rsid w:val="209033B2"/>
    <w:rsid w:val="20F6038C"/>
    <w:rsid w:val="23CC1481"/>
    <w:rsid w:val="26B52B4E"/>
    <w:rsid w:val="290F6532"/>
    <w:rsid w:val="310C1BEF"/>
    <w:rsid w:val="312B5682"/>
    <w:rsid w:val="31751986"/>
    <w:rsid w:val="31954ECB"/>
    <w:rsid w:val="33A14F31"/>
    <w:rsid w:val="34314577"/>
    <w:rsid w:val="3AC151B3"/>
    <w:rsid w:val="3CAE23FA"/>
    <w:rsid w:val="3EE9051E"/>
    <w:rsid w:val="3F037274"/>
    <w:rsid w:val="40004C46"/>
    <w:rsid w:val="43A47906"/>
    <w:rsid w:val="48146F59"/>
    <w:rsid w:val="48E82FCB"/>
    <w:rsid w:val="4A462E14"/>
    <w:rsid w:val="4A9B6CBB"/>
    <w:rsid w:val="4B3860FA"/>
    <w:rsid w:val="4D554862"/>
    <w:rsid w:val="4D64369F"/>
    <w:rsid w:val="4E3441C2"/>
    <w:rsid w:val="520C617A"/>
    <w:rsid w:val="56FF319D"/>
    <w:rsid w:val="593C4746"/>
    <w:rsid w:val="5BA729A4"/>
    <w:rsid w:val="5D5B2854"/>
    <w:rsid w:val="630D5D69"/>
    <w:rsid w:val="632F4B44"/>
    <w:rsid w:val="639761E1"/>
    <w:rsid w:val="671270A0"/>
    <w:rsid w:val="67D25852"/>
    <w:rsid w:val="6A6A1311"/>
    <w:rsid w:val="6C240F7A"/>
    <w:rsid w:val="6CD33CE0"/>
    <w:rsid w:val="748417FD"/>
    <w:rsid w:val="752C7C99"/>
    <w:rsid w:val="7A7B3DC6"/>
    <w:rsid w:val="7EA5215F"/>
    <w:rsid w:val="7FE17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D64E5C"/>
  <w15:docId w15:val="{707D5C96-002C-4122-8E5A-4CE278FC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9" w:unhideWhenUsed="1" w:qFormat="1"/>
    <w:lsdException w:name="heading 3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unhideWhenUsed="1" w:qFormat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qFormat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qFormat="1"/>
    <w:lsdException w:name="Table Theme" w:locked="1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Autospacing="1" w:afterAutospacing="1"/>
      <w:jc w:val="left"/>
      <w:outlineLvl w:val="0"/>
    </w:pPr>
    <w:rPr>
      <w:rFonts w:ascii="宋体" w:hAnsi="宋体"/>
      <w:b/>
      <w:bCs/>
      <w:kern w:val="44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spacing w:beforeAutospacing="1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locked/>
    <w:pPr>
      <w:jc w:val="left"/>
    </w:pPr>
  </w:style>
  <w:style w:type="paragraph" w:styleId="a5">
    <w:name w:val="Date"/>
    <w:basedOn w:val="a"/>
    <w:next w:val="a"/>
    <w:link w:val="a6"/>
    <w:uiPriority w:val="99"/>
    <w:qFormat/>
    <w:pPr>
      <w:ind w:leftChars="2500" w:left="100"/>
    </w:p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locked/>
    <w:rPr>
      <w:b/>
      <w:bCs/>
    </w:rPr>
  </w:style>
  <w:style w:type="table" w:styleId="ad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unhideWhenUsed/>
    <w:qFormat/>
    <w:locked/>
    <w:rPr>
      <w:sz w:val="21"/>
      <w:szCs w:val="21"/>
    </w:rPr>
  </w:style>
  <w:style w:type="character" w:customStyle="1" w:styleId="10">
    <w:name w:val="标题 1 字符"/>
    <w:link w:val="1"/>
    <w:uiPriority w:val="99"/>
    <w:qFormat/>
    <w:locked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30">
    <w:name w:val="标题 3 字符"/>
    <w:link w:val="3"/>
    <w:uiPriority w:val="99"/>
    <w:semiHidden/>
    <w:qFormat/>
    <w:locked/>
    <w:rPr>
      <w:rFonts w:ascii="Calibri" w:hAnsi="Calibri" w:cs="Times New Roman"/>
      <w:b/>
      <w:bCs/>
      <w:sz w:val="32"/>
      <w:szCs w:val="32"/>
    </w:rPr>
  </w:style>
  <w:style w:type="character" w:customStyle="1" w:styleId="a8">
    <w:name w:val="页脚 字符"/>
    <w:link w:val="a7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aa">
    <w:name w:val="页眉 字符"/>
    <w:link w:val="a9"/>
    <w:uiPriority w:val="99"/>
    <w:qFormat/>
    <w:locked/>
    <w:rPr>
      <w:rFonts w:cs="Times New Roman"/>
      <w:kern w:val="2"/>
      <w:sz w:val="18"/>
      <w:szCs w:val="18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character" w:customStyle="1" w:styleId="a6">
    <w:name w:val="日期 字符"/>
    <w:link w:val="a5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paragraph" w:customStyle="1" w:styleId="11">
    <w:name w:val="修订1"/>
    <w:hidden/>
    <w:uiPriority w:val="99"/>
    <w:semiHidden/>
    <w:qFormat/>
    <w:rPr>
      <w:rFonts w:ascii="Calibri" w:hAnsi="Calibri"/>
      <w:kern w:val="2"/>
      <w:sz w:val="21"/>
      <w:szCs w:val="24"/>
    </w:rPr>
  </w:style>
  <w:style w:type="character" w:customStyle="1" w:styleId="a4">
    <w:name w:val="批注文字 字符"/>
    <w:link w:val="a3"/>
    <w:uiPriority w:val="99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uiPriority w:val="99"/>
    <w:semiHidden/>
    <w:qFormat/>
    <w:rPr>
      <w:rFonts w:ascii="Calibri" w:hAnsi="Calibri"/>
      <w:b/>
      <w:bCs/>
      <w:kern w:val="2"/>
      <w:sz w:val="21"/>
      <w:szCs w:val="24"/>
    </w:rPr>
  </w:style>
  <w:style w:type="paragraph" w:customStyle="1" w:styleId="2">
    <w:name w:val="修订2"/>
    <w:hidden/>
    <w:uiPriority w:val="99"/>
    <w:unhideWhenUsed/>
    <w:qFormat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37BA-D66F-49FF-8F9A-EA9573323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369</Words>
  <Characters>2104</Characters>
  <Application>Microsoft Office Word</Application>
  <DocSecurity>0</DocSecurity>
  <Lines>17</Lines>
  <Paragraphs>4</Paragraphs>
  <ScaleCrop>false</ScaleCrop>
  <Company>china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南通市中央创新区医学综合体商业配套区项目</dc:title>
  <dc:creator>windows</dc:creator>
  <cp:lastModifiedBy>云天 沙</cp:lastModifiedBy>
  <cp:revision>6</cp:revision>
  <cp:lastPrinted>2023-07-15T03:39:00Z</cp:lastPrinted>
  <dcterms:created xsi:type="dcterms:W3CDTF">2024-07-29T09:06:00Z</dcterms:created>
  <dcterms:modified xsi:type="dcterms:W3CDTF">2024-08-15T03:25:00Z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A8FF3EAE1A1E479D9A0C77034182F350</vt:lpwstr>
  </property>
</Properties>
</file>