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28"/>
          <w:szCs w:val="28"/>
        </w:rPr>
      </w:pPr>
      <w:r>
        <w:rPr>
          <w:rFonts w:hint="eastAsia" w:ascii="宋体" w:hAnsi="宋体" w:cs="宋体"/>
          <w:b/>
          <w:bCs/>
          <w:spacing w:val="-10"/>
          <w:kern w:val="0"/>
          <w:sz w:val="28"/>
          <w:szCs w:val="28"/>
          <w:lang w:val="en-US" w:eastAsia="zh-CN"/>
        </w:rPr>
        <w:t>海川花园小区接水工程不锈钢闸阀</w:t>
      </w:r>
      <w:r>
        <w:rPr>
          <w:rFonts w:hint="eastAsia" w:ascii="宋体" w:hAnsi="宋体" w:eastAsia="宋体" w:cs="宋体"/>
          <w:b/>
          <w:bCs/>
          <w:spacing w:val="-10"/>
          <w:kern w:val="0"/>
          <w:sz w:val="28"/>
          <w:szCs w:val="28"/>
          <w:lang w:val="en-US" w:eastAsia="zh-CN"/>
        </w:rPr>
        <w:t>采购</w:t>
      </w:r>
      <w:r>
        <w:rPr>
          <w:rFonts w:hint="eastAsia" w:ascii="宋体" w:hAnsi="宋体" w:eastAsia="宋体" w:cs="宋体"/>
          <w:b/>
          <w:bCs/>
          <w:spacing w:val="-10"/>
          <w:kern w:val="0"/>
          <w:sz w:val="28"/>
          <w:szCs w:val="28"/>
          <w:lang w:eastAsia="zh-CN"/>
        </w:rPr>
        <w:t>项目询价函</w:t>
      </w:r>
    </w:p>
    <w:p>
      <w:pPr>
        <w:pStyle w:val="12"/>
        <w:jc w:val="both"/>
        <w:rPr>
          <w:rFonts w:hint="eastAsia" w:ascii="新宋体" w:hAnsi="新宋体" w:eastAsia="新宋体" w:cs="新宋体"/>
          <w:b/>
          <w:kern w:val="0"/>
          <w:sz w:val="21"/>
          <w:szCs w:val="21"/>
        </w:rPr>
      </w:pPr>
    </w:p>
    <w:p>
      <w:pPr>
        <w:pStyle w:val="12"/>
        <w:numPr>
          <w:ilvl w:val="0"/>
          <w:numId w:val="1"/>
        </w:numPr>
        <w:jc w:val="both"/>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海川花园小区接水工程不锈钢闸阀采购项目</w:t>
      </w:r>
    </w:p>
    <w:p>
      <w:pPr>
        <w:pStyle w:val="12"/>
        <w:numPr>
          <w:ilvl w:val="0"/>
          <w:numId w:val="0"/>
        </w:numPr>
        <w:jc w:val="both"/>
        <w:rPr>
          <w:rFonts w:hint="eastAsia" w:ascii="新宋体" w:hAnsi="新宋体" w:eastAsia="新宋体" w:cs="新宋体"/>
          <w:b/>
          <w:kern w:val="0"/>
          <w:sz w:val="21"/>
          <w:szCs w:val="21"/>
          <w:lang w:val="en-US" w:eastAsia="zh-CN"/>
        </w:rPr>
      </w:pPr>
    </w:p>
    <w:p>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工程需求</w:t>
      </w:r>
      <w:r>
        <w:rPr>
          <w:rFonts w:hint="eastAsia" w:ascii="宋体" w:hAnsi="宋体" w:eastAsia="宋体" w:cs="宋体"/>
          <w:b w:val="0"/>
          <w:color w:val="auto"/>
          <w:kern w:val="2"/>
          <w:sz w:val="24"/>
          <w:szCs w:val="24"/>
          <w:lang w:val="en-US" w:eastAsia="zh-CN" w:bidi="ar-SA"/>
        </w:rPr>
        <w:t>，需采购共 3项材料</w:t>
      </w:r>
      <w:r>
        <w:rPr>
          <w:rFonts w:hint="eastAsia" w:ascii="宋体" w:hAnsi="宋体" w:cs="宋体"/>
          <w:b w:val="0"/>
          <w:color w:val="auto"/>
          <w:kern w:val="2"/>
          <w:sz w:val="24"/>
          <w:szCs w:val="24"/>
          <w:lang w:val="en-US" w:eastAsia="zh-CN" w:bidi="ar-SA"/>
        </w:rPr>
        <w:t>不锈钢丝口排气阀</w:t>
      </w:r>
      <w:r>
        <w:rPr>
          <w:rFonts w:hint="eastAsia" w:ascii="宋体" w:hAnsi="宋体" w:eastAsia="宋体" w:cs="宋体"/>
          <w:b w:val="0"/>
          <w:color w:val="auto"/>
          <w:kern w:val="2"/>
          <w:sz w:val="24"/>
          <w:szCs w:val="24"/>
          <w:lang w:val="en-US" w:eastAsia="zh-CN" w:bidi="ar-SA"/>
        </w:rPr>
        <w:t>、</w:t>
      </w:r>
      <w:r>
        <w:rPr>
          <w:rFonts w:hint="eastAsia" w:ascii="宋体" w:hAnsi="宋体" w:cs="宋体"/>
          <w:b w:val="0"/>
          <w:color w:val="auto"/>
          <w:kern w:val="2"/>
          <w:sz w:val="24"/>
          <w:szCs w:val="24"/>
          <w:lang w:val="en-US" w:eastAsia="zh-CN" w:bidi="ar-SA"/>
        </w:rPr>
        <w:t>不锈钢丝口可锁阀</w:t>
      </w:r>
      <w:r>
        <w:rPr>
          <w:rFonts w:hint="eastAsia" w:ascii="宋体" w:hAnsi="宋体" w:eastAsia="宋体" w:cs="宋体"/>
          <w:b w:val="0"/>
          <w:color w:val="auto"/>
          <w:kern w:val="2"/>
          <w:sz w:val="24"/>
          <w:szCs w:val="24"/>
          <w:lang w:val="en-US" w:eastAsia="zh-CN" w:bidi="ar-SA"/>
        </w:rPr>
        <w:t>、</w:t>
      </w:r>
      <w:r>
        <w:rPr>
          <w:rFonts w:hint="eastAsia" w:ascii="宋体" w:hAnsi="宋体" w:cs="宋体"/>
          <w:b w:val="0"/>
          <w:color w:val="auto"/>
          <w:kern w:val="2"/>
          <w:sz w:val="24"/>
          <w:szCs w:val="24"/>
          <w:lang w:val="en-US" w:eastAsia="zh-CN" w:bidi="ar-SA"/>
        </w:rPr>
        <w:t>不锈钢法兰可锁阀</w:t>
      </w:r>
      <w:r>
        <w:rPr>
          <w:rFonts w:hint="eastAsia" w:ascii="宋体" w:hAnsi="宋体" w:eastAsia="宋体" w:cs="宋体"/>
          <w:b w:val="0"/>
          <w:color w:val="auto"/>
          <w:kern w:val="2"/>
          <w:sz w:val="24"/>
          <w:szCs w:val="24"/>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4.16</w:t>
      </w:r>
      <w:r>
        <w:rPr>
          <w:rFonts w:hint="eastAsia" w:ascii="宋体" w:hAnsi="宋体" w:eastAsia="宋体" w:cs="宋体"/>
          <w:b w:val="0"/>
          <w:color w:val="auto"/>
          <w:kern w:val="2"/>
          <w:sz w:val="24"/>
          <w:szCs w:val="24"/>
          <w:lang w:val="en-US" w:eastAsia="zh-CN" w:bidi="ar-SA"/>
        </w:rPr>
        <w:t>万元含13%增值税投标报价包括完成招标标的物全部内容的材料及其包装、运输、运杂保险、装卸、赶工费、购置税、售后服务、税金等一切费用。报价超过最高限价的为无效投标；</w:t>
      </w:r>
    </w:p>
    <w:p>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（3）供货期：合同签订后2个日历天按甲方要求完成供货，质保两年；</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（4）材料质量标准：丝口不锈钢排气阀（不锈钢丝口排气阀）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①技术要求</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 标准要求：执行国家标准、行业规范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阀门的设计符合如下相关标准：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 GB/T8464-2023 铁制、铜制和不锈钢制螺纹连接阀门；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 圆柱管螺纹符合ISO228 标准；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c. GB/T 13927-2008 工业阀门压力试验；</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d. GB 12220－89 通用阀门标志；</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e. HG/T 3091-2000 橡胶密封圈应符合给、排水管道用接口密封圈材料规范；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f. GB/T 17219-2001 生活饮用输配水设备及防护材料的安全性能评价标准；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g. 其他现行相关国家标准、行业规范；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h. 以上标准或规范若由新标准或规范替代时，则执行有效的新标准或规范。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 技术性能及材质要求</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 工作介质、温度及结构、安装要求工作介质为自来水或河水，工作温度0℃~80℃，公称压力为</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1.6MPa。</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 阀体、阀盖、阀瓣</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阀体、阀盖、阀瓣采用304不锈钢，阀体工艺采用不锈钢红冲热锻工艺加工锻造（严禁阀体采用模具铸造），阀门铸件过流表面要求光滑。</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投标人应为在中华人民共和国境内注册的货物制造商，并提供有能力生产本项目所有规格产品的承诺书(格式自拟)</w:t>
      </w:r>
    </w:p>
    <w:p>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到投标截止时间止，若投标人不足三家或经评审后有效投标人不足三家时，招标人有权采用竞争性谈判确定中标单位。</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23</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电话：15951300810                         </w:t>
      </w:r>
    </w:p>
    <w:p>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eastAsia="仿宋_GB2312"/>
          <w:b/>
          <w:sz w:val="28"/>
          <w:szCs w:val="28"/>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4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19 日</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401" w:tblpY="590"/>
        <w:tblOverlap w:val="never"/>
        <w:tblW w:w="10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厂家名称</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kern w:val="2"/>
                <w:sz w:val="20"/>
                <w:szCs w:val="20"/>
                <w:u w:val="none"/>
                <w:lang w:val="en-US" w:eastAsia="zh-CN" w:bidi="ar-SA"/>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val="0"/>
                <w:color w:val="auto"/>
                <w:kern w:val="2"/>
                <w:sz w:val="24"/>
                <w:szCs w:val="24"/>
                <w:lang w:val="en-US" w:eastAsia="zh-CN" w:bidi="ar-SA"/>
              </w:rPr>
              <w:t>不锈钢丝口排气阀</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DN15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新宋体" w:hAnsi="新宋体" w:eastAsia="新宋体" w:cs="新宋体"/>
                <w:b/>
                <w:bCs/>
                <w:i w:val="0"/>
                <w:iCs w:val="0"/>
                <w:color w:val="000000"/>
                <w:sz w:val="20"/>
                <w:szCs w:val="20"/>
                <w:u w:val="none"/>
                <w:lang w:val="en-US" w:eastAsia="zh-CN"/>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kern w:val="2"/>
                <w:sz w:val="20"/>
                <w:szCs w:val="20"/>
                <w:u w:val="none"/>
                <w:lang w:val="en-US" w:eastAsia="zh-CN" w:bidi="ar-SA"/>
              </w:rPr>
            </w:pPr>
            <w:r>
              <w:rPr>
                <w:rFonts w:hint="eastAsia" w:ascii="新宋体" w:hAnsi="新宋体" w:eastAsia="新宋体" w:cs="新宋体"/>
                <w:b/>
                <w:bCs/>
                <w:i w:val="0"/>
                <w:iCs w:val="0"/>
                <w:color w:val="000000"/>
                <w:sz w:val="20"/>
                <w:szCs w:val="20"/>
                <w:u w:val="none"/>
                <w:lang w:val="en-US" w:eastAsia="zh-CN"/>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val="0"/>
                <w:color w:val="auto"/>
                <w:kern w:val="2"/>
                <w:sz w:val="24"/>
                <w:szCs w:val="24"/>
                <w:lang w:val="en-US" w:eastAsia="zh-CN" w:bidi="ar-SA"/>
              </w:rPr>
              <w:t>不锈钢丝口可锁阀</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566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kern w:val="2"/>
                <w:sz w:val="20"/>
                <w:szCs w:val="20"/>
                <w:u w:val="none"/>
                <w:lang w:val="en-US" w:eastAsia="zh-CN" w:bidi="ar-SA"/>
              </w:rPr>
            </w:pPr>
            <w:r>
              <w:rPr>
                <w:rFonts w:hint="eastAsia" w:ascii="新宋体" w:hAnsi="新宋体" w:eastAsia="新宋体" w:cs="新宋体"/>
                <w:b/>
                <w:bCs/>
                <w:i w:val="0"/>
                <w:iCs w:val="0"/>
                <w:color w:val="000000"/>
                <w:sz w:val="20"/>
                <w:szCs w:val="20"/>
                <w:u w:val="none"/>
                <w:lang w:val="en-US" w:eastAsia="zh-CN"/>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val="0"/>
                <w:color w:val="auto"/>
                <w:kern w:val="2"/>
                <w:sz w:val="24"/>
                <w:szCs w:val="24"/>
                <w:lang w:val="en-US" w:eastAsia="zh-CN" w:bidi="ar-SA"/>
              </w:rPr>
              <w:t>不锈钢法兰可锁阀</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N50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kern w:val="2"/>
                <w:sz w:val="20"/>
                <w:szCs w:val="20"/>
                <w:u w:val="none"/>
                <w:lang w:val="en-US" w:eastAsia="zh-CN" w:bidi="ar-SA"/>
              </w:rPr>
            </w:pPr>
            <w:r>
              <w:rPr>
                <w:rFonts w:hint="eastAsia" w:ascii="新宋体" w:hAnsi="新宋体" w:eastAsia="新宋体" w:cs="新宋体"/>
                <w:b/>
                <w:bCs/>
                <w:i w:val="0"/>
                <w:iCs w:val="0"/>
                <w:color w:val="000000"/>
                <w:sz w:val="20"/>
                <w:szCs w:val="20"/>
                <w:u w:val="none"/>
                <w:lang w:val="en-US" w:eastAsia="zh-CN"/>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p>
      <w:pPr>
        <w:pStyle w:val="3"/>
        <w:numPr>
          <w:ilvl w:val="0"/>
          <w:numId w:val="0"/>
        </w:numPr>
        <w:spacing w:line="360" w:lineRule="auto"/>
        <w:rPr>
          <w:rFonts w:hint="eastAsia" w:ascii="仿宋_GB2312" w:hAnsi="仿宋_GB2312" w:eastAsia="仿宋_GB2312" w:cs="仿宋_GB2312"/>
          <w:sz w:val="28"/>
          <w:szCs w:val="28"/>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066EFE"/>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17E1951"/>
    <w:rsid w:val="62050EC9"/>
    <w:rsid w:val="62F32D38"/>
    <w:rsid w:val="62FB6C04"/>
    <w:rsid w:val="631A740A"/>
    <w:rsid w:val="6336277D"/>
    <w:rsid w:val="63591EDD"/>
    <w:rsid w:val="63C445C8"/>
    <w:rsid w:val="64285AC1"/>
    <w:rsid w:val="64417F62"/>
    <w:rsid w:val="64BE6A54"/>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1902</Words>
  <Characters>2024</Characters>
  <Lines>13</Lines>
  <Paragraphs>3</Paragraphs>
  <TotalTime>3</TotalTime>
  <ScaleCrop>false</ScaleCrop>
  <LinksUpToDate>false</LinksUpToDate>
  <CharactersWithSpaces>2562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2024-01-17T03:20:00Z</cp:lastPrinted>
  <dcterms:modified xsi:type="dcterms:W3CDTF">2024-04-19T01:54:03Z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670BF5723C65487CA90F108E516CBB73_13</vt:lpwstr>
  </property>
</Properties>
</file>