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" w:hAnsi="仿宋" w:eastAsia="仿宋" w:cs="仿宋"/>
          <w:sz w:val="44"/>
          <w:szCs w:val="36"/>
          <w:lang w:eastAsia="zh-CN"/>
        </w:rPr>
        <w:t>南通金鳌坊 10 号楼百叶窗采购与安装项目</w:t>
      </w:r>
    </w:p>
    <w:tbl>
      <w:tblPr>
        <w:tblStyle w:val="5"/>
        <w:tblW w:w="88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8"/>
        <w:gridCol w:w="1650"/>
        <w:gridCol w:w="1467"/>
        <w:gridCol w:w="1850"/>
        <w:gridCol w:w="1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8875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电动木百叶清单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区域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包房 E2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2.58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5.934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2.58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5.934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包房 E1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2.58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5.934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2.58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5.934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包房 D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2.77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6.648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2.77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6.925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2.77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6.7865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包房 C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2.77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5.9555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包房 A1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4.575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5.565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8.235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7.625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包房 A2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7.625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8.235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1.65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3.05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5.0325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包房C卫生间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1.33</w:t>
            </w: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3.458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木百叶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kern w:val="0"/>
          <w:sz w:val="24"/>
          <w:szCs w:val="24"/>
          <w:shd w:val="clear" w:color="auto" w:fill="FFFFFF"/>
        </w:rPr>
      </w:pPr>
    </w:p>
    <w:p>
      <w:r>
        <w:rPr>
          <w:rFonts w:hint="eastAsia" w:ascii="仿宋_GB2312" w:hAnsi="宋体" w:eastAsia="仿宋"/>
          <w:b/>
          <w:bCs/>
          <w:sz w:val="24"/>
          <w:szCs w:val="28"/>
          <w:lang w:val="en-US" w:eastAsia="zh-CN"/>
        </w:rPr>
        <w:t>中标单位收到中标通知书2日内提供样品，经招标人确认无误后供货。供货周期：</w:t>
      </w:r>
      <w:r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>日内制作安装完毕</w:t>
      </w:r>
      <w:r>
        <w:rPr>
          <w:rFonts w:hint="eastAsia" w:ascii="仿宋_GB2312" w:hAnsi="宋体" w:eastAsia="仿宋"/>
          <w:b/>
          <w:bCs/>
          <w:sz w:val="24"/>
          <w:szCs w:val="28"/>
        </w:rPr>
        <w:t>（最终进场时间根据甲方要求而定）</w:t>
      </w:r>
      <w:r>
        <w:rPr>
          <w:rFonts w:hint="eastAsia" w:ascii="仿宋_GB2312" w:hAnsi="宋体" w:eastAsia="仿宋"/>
          <w:sz w:val="24"/>
          <w:szCs w:val="28"/>
        </w:rPr>
        <w:t>。</w:t>
      </w: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lYTYzM2M2NDRjODAzNWIyODg4MmQzOWZmODdmMjEifQ=="/>
  </w:docVars>
  <w:rsids>
    <w:rsidRoot w:val="6BE11789"/>
    <w:rsid w:val="1B813394"/>
    <w:rsid w:val="6BE11789"/>
    <w:rsid w:val="6EA3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  <w:rPr>
      <w:szCs w:val="24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2024-03-11T05:52:00Z</dcterms:created>
  <dc:creator>姜小咪</dc:creator>
  <cp:lastModifiedBy>姜小咪</cp:lastModifiedBy>
  <dcterms:modified xsi:type="dcterms:W3CDTF">2024-03-11T05:54:30Z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4583D1B9863D4E08BBA8DF678947D7F5_11</vt:lpwstr>
  </property>
</Properties>
</file>