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仿宋" w:hAnsi="仿宋" w:eastAsia="仿宋"/>
          <w:b/>
          <w:sz w:val="44"/>
          <w:szCs w:val="44"/>
          <w:lang w:eastAsia="zh-CN"/>
        </w:rPr>
      </w:pPr>
      <w:r>
        <w:rPr>
          <w:rFonts w:hint="eastAsia" w:ascii="仿宋" w:hAnsi="仿宋" w:eastAsia="仿宋"/>
          <w:b/>
          <w:sz w:val="44"/>
          <w:szCs w:val="44"/>
          <w:lang w:eastAsia="zh-CN"/>
        </w:rPr>
        <w:t>盛和地产</w:t>
      </w:r>
      <w:bookmarkStart w:id="0" w:name="_GoBack"/>
      <w:bookmarkEnd w:id="0"/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灯具技术标准</w:t>
      </w:r>
    </w:p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left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一、总体要求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1、LED灯及灯具应符合GB7000、GB4208系列国家标准和3C认证，具备产品型式试验报告，或者委托试验报告。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2、外观要求：1）涂漆色泽均匀，无气孔，无裂缝，无杂质。涂层无起</w:t>
      </w:r>
      <w:r>
        <w:rPr>
          <w:rFonts w:ascii="仿宋" w:hAnsi="仿宋" w:eastAsia="仿宋"/>
          <w:sz w:val="24"/>
          <w:szCs w:val="24"/>
        </w:rPr>
        <w:t>翘</w:t>
      </w:r>
      <w:r>
        <w:rPr>
          <w:rFonts w:hint="eastAsia" w:ascii="仿宋" w:hAnsi="仿宋" w:eastAsia="仿宋"/>
          <w:sz w:val="24"/>
          <w:szCs w:val="24"/>
        </w:rPr>
        <w:t>现象。产品各部件表面应光洁，平整，不应有划伤，裂缝，变形等缺陷。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2）装配要求：产品表面各紧固螺钉应拧紧，边缘应无毛刺和锐边，各链接应牢固无松动，必要时产品要牢固以及密封，符合GB7000.1-200</w:t>
      </w: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国家标准。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3、环境条件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  产品在温度-2</w:t>
      </w:r>
      <w:r>
        <w:rPr>
          <w:rFonts w:ascii="仿宋" w:hAnsi="仿宋" w:eastAsia="仿宋"/>
          <w:sz w:val="24"/>
          <w:szCs w:val="24"/>
        </w:rPr>
        <w:t>0</w:t>
      </w:r>
      <w:r>
        <w:rPr>
          <w:rFonts w:hint="eastAsia" w:ascii="仿宋" w:hAnsi="仿宋" w:eastAsia="仿宋"/>
          <w:sz w:val="24"/>
          <w:szCs w:val="24"/>
        </w:rPr>
        <w:t>℃-4</w:t>
      </w: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℃范围内能可靠的工作。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（2）产品在温度-40℃-85℃范围内能可靠存储。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（3）产品在相对湿度≤95%RH能可靠工作。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（4）产品间歇暴露在震动条件下不会危害到产品的正常工作。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（5）产品在搬运期间遭受的自由跌落不会危害到产品的正常工作(依</w:t>
      </w:r>
      <w:r>
        <w:rPr>
          <w:rFonts w:ascii="仿宋" w:hAnsi="仿宋" w:eastAsia="仿宋"/>
          <w:sz w:val="24"/>
          <w:szCs w:val="24"/>
        </w:rPr>
        <w:t>国标跌落标准要</w:t>
      </w:r>
    </w:p>
    <w:p>
      <w:pPr>
        <w:pStyle w:val="48"/>
        <w:spacing w:line="360" w:lineRule="auto"/>
        <w:ind w:left="420" w:firstLine="600" w:firstLineChars="25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求</w:t>
      </w:r>
      <w:r>
        <w:rPr>
          <w:rFonts w:hint="eastAsia" w:ascii="仿宋" w:hAnsi="仿宋" w:eastAsia="仿宋"/>
          <w:sz w:val="24"/>
          <w:szCs w:val="24"/>
        </w:rPr>
        <w:t>)。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（6）产品在大气压力86-106KPA范围内能可靠工作。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4、工作电源：额定电压，AC220∽240V：工频：50/60HZ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5、性能要求：（1）保证产品在正常环境工作时，铝基电板温度不得超过65℃并有异常保护功能；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（2）产品应具有抗LED异常工作能力，即LED灯具中，LED串联组由恒流电力驱动，该恒流电路应保证有LED击穿异常情况下能安全运行，并且电流稳定。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（3）防护等级：灯具结构应达到《GB4208-</w:t>
      </w:r>
      <w:r>
        <w:rPr>
          <w:rFonts w:ascii="仿宋" w:hAnsi="仿宋" w:eastAsia="仿宋"/>
          <w:sz w:val="24"/>
          <w:szCs w:val="24"/>
        </w:rPr>
        <w:t>2008</w:t>
      </w:r>
      <w:r>
        <w:rPr>
          <w:rFonts w:hint="eastAsia" w:ascii="仿宋" w:hAnsi="仿宋" w:eastAsia="仿宋"/>
          <w:sz w:val="24"/>
          <w:szCs w:val="24"/>
        </w:rPr>
        <w:t>》外壳防护等级指标。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（4）LED光源的芯片国内品牌须采用三安或晶元，国际品牌采用科锐、日亚、欧司朗</w:t>
      </w:r>
      <w:r>
        <w:rPr>
          <w:rFonts w:hint="eastAsia" w:ascii="仿宋" w:hAnsi="仿宋" w:eastAsia="仿宋"/>
          <w:kern w:val="0"/>
          <w:sz w:val="24"/>
          <w:szCs w:val="24"/>
        </w:rPr>
        <w:t>、西铁城</w:t>
      </w:r>
      <w:r>
        <w:rPr>
          <w:rFonts w:hint="eastAsia" w:ascii="仿宋" w:hAnsi="仿宋" w:eastAsia="仿宋"/>
          <w:sz w:val="24"/>
          <w:szCs w:val="24"/>
        </w:rPr>
        <w:t>；采用功率型LED芯片封装技术，选用低热阻、散热良好、耐高温、抗高压的封装及高折射率、抗劣化封装材料，提高出光效率和降低热阻，保证功率型LED工作的稳定性、可靠性、及高效性。并要求提供原厂证明。</w:t>
      </w:r>
    </w:p>
    <w:p>
      <w:pPr>
        <w:pStyle w:val="48"/>
        <w:spacing w:line="360" w:lineRule="auto"/>
        <w:ind w:left="420"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（5）LED封装必须选择国内一线厂家包括：深圳瑞丰光电、聚飞</w:t>
      </w:r>
      <w:r>
        <w:rPr>
          <w:rFonts w:ascii="仿宋" w:hAnsi="仿宋" w:eastAsia="仿宋"/>
          <w:sz w:val="24"/>
          <w:szCs w:val="24"/>
        </w:rPr>
        <w:t>光电</w:t>
      </w:r>
      <w:r>
        <w:rPr>
          <w:rFonts w:hint="eastAsia" w:ascii="仿宋" w:hAnsi="仿宋" w:eastAsia="仿宋"/>
          <w:sz w:val="24"/>
          <w:szCs w:val="24"/>
        </w:rPr>
        <w:t>、佛山国星光电、广州鸿利、方大国光科技、三安光电、深圳德豪、升谱光电 。</w:t>
      </w:r>
    </w:p>
    <w:p>
      <w:pPr>
        <w:pStyle w:val="48"/>
        <w:numPr>
          <w:ilvl w:val="0"/>
          <w:numId w:val="13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LED颗</w:t>
      </w:r>
      <w:r>
        <w:rPr>
          <w:rFonts w:ascii="仿宋" w:hAnsi="仿宋" w:eastAsia="仿宋"/>
          <w:sz w:val="24"/>
          <w:szCs w:val="24"/>
        </w:rPr>
        <w:t>粒</w:t>
      </w:r>
      <w:r>
        <w:rPr>
          <w:rFonts w:hint="eastAsia" w:ascii="仿宋" w:hAnsi="仿宋" w:eastAsia="仿宋"/>
          <w:sz w:val="24"/>
          <w:szCs w:val="24"/>
        </w:rPr>
        <w:t>及驱动电源寿命：在正常条件下的平均寿命不小于2.5万小时。</w:t>
      </w:r>
    </w:p>
    <w:p>
      <w:pPr>
        <w:pStyle w:val="48"/>
        <w:numPr>
          <w:ilvl w:val="0"/>
          <w:numId w:val="13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LED光源的色温根据招标的要求进行适时调整。</w:t>
      </w:r>
    </w:p>
    <w:p>
      <w:pPr>
        <w:pStyle w:val="48"/>
        <w:numPr>
          <w:ilvl w:val="0"/>
          <w:numId w:val="13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LED 驱动电源根据具体灯具配置内置或外置驱动电源。该电源必须为灯具标配，不得随意更换。驱动电源必须符合国家相关标准。骚扰电压：符合GB17743-2007《电气照明和类似设备的无线电骚扰特性的限制和测量方法》要求。</w:t>
      </w:r>
    </w:p>
    <w:p>
      <w:pPr>
        <w:pStyle w:val="48"/>
        <w:numPr>
          <w:ilvl w:val="0"/>
          <w:numId w:val="13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LED灯具外壳温度满载负荷两小时后，温度升高不大于30℃。</w:t>
      </w:r>
    </w:p>
    <w:p>
      <w:pPr>
        <w:spacing w:line="360" w:lineRule="auto"/>
        <w:ind w:left="900" w:leftChars="200" w:hanging="480" w:hanging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10、L</w:t>
      </w:r>
      <w:r>
        <w:rPr>
          <w:rFonts w:ascii="仿宋" w:hAnsi="仿宋" w:eastAsia="仿宋"/>
          <w:sz w:val="24"/>
          <w:szCs w:val="24"/>
        </w:rPr>
        <w:t>ED</w:t>
      </w:r>
      <w:r>
        <w:rPr>
          <w:rFonts w:hint="eastAsia" w:ascii="仿宋" w:hAnsi="仿宋" w:eastAsia="仿宋"/>
          <w:sz w:val="24"/>
          <w:szCs w:val="24"/>
        </w:rPr>
        <w:t>灯具产品（整灯）光通维持率：3000h光通维持率≥92%，光</w:t>
      </w:r>
      <w:r>
        <w:rPr>
          <w:rFonts w:ascii="仿宋" w:hAnsi="仿宋" w:eastAsia="仿宋"/>
          <w:sz w:val="24"/>
          <w:szCs w:val="24"/>
        </w:rPr>
        <w:t>效见每一类产品。</w:t>
      </w:r>
      <w:r>
        <w:rPr>
          <w:rFonts w:hint="eastAsia" w:ascii="仿宋" w:hAnsi="仿宋" w:eastAsia="仿宋"/>
          <w:sz w:val="24"/>
          <w:szCs w:val="24"/>
        </w:rPr>
        <w:t>显色指数Ra≥80，R9＞0。</w:t>
      </w:r>
    </w:p>
    <w:p>
      <w:pPr>
        <w:pStyle w:val="48"/>
        <w:numPr>
          <w:ilvl w:val="0"/>
          <w:numId w:val="14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住宅用室内照明、地下车库应采用无频闪灯具(依IEEE Std 1789-2015标准要求，符合不可察觉限值)。频闪要求：依IEEE Std 1789-2015标准要求，符合低风险限值；</w:t>
      </w:r>
    </w:p>
    <w:p>
      <w:pPr>
        <w:pStyle w:val="48"/>
        <w:numPr>
          <w:ilvl w:val="0"/>
          <w:numId w:val="14"/>
        </w:numPr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所有灯具达到</w:t>
      </w:r>
      <w:r>
        <w:rPr>
          <w:rFonts w:ascii="仿宋" w:hAnsi="仿宋" w:eastAsia="仿宋"/>
          <w:sz w:val="24"/>
          <w:szCs w:val="24"/>
        </w:rPr>
        <w:t>GB-T 20145-200</w:t>
      </w:r>
      <w:r>
        <w:rPr>
          <w:rFonts w:hint="eastAsia" w:ascii="仿宋" w:hAnsi="仿宋" w:eastAsia="仿宋"/>
          <w:sz w:val="24"/>
          <w:szCs w:val="24"/>
        </w:rPr>
        <w:t>6中“无危险”级别</w:t>
      </w:r>
    </w:p>
    <w:p>
      <w:pPr>
        <w:spacing w:line="360" w:lineRule="auto"/>
        <w:ind w:left="42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drawing>
          <wp:inline distT="0" distB="0" distL="0" distR="0">
            <wp:extent cx="5759450" cy="2870200"/>
            <wp:effectExtent l="0" t="0" r="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pStyle w:val="48"/>
        <w:numPr>
          <w:ilvl w:val="0"/>
          <w:numId w:val="15"/>
        </w:numPr>
        <w:tabs>
          <w:tab w:val="left" w:pos="720"/>
        </w:tabs>
        <w:adjustRightInd w:val="0"/>
        <w:snapToGrid w:val="0"/>
        <w:spacing w:line="360" w:lineRule="auto"/>
        <w:ind w:firstLineChars="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产品要求</w:t>
      </w:r>
    </w:p>
    <w:p>
      <w:pPr>
        <w:adjustRightInd w:val="0"/>
        <w:snapToGrid w:val="0"/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1）</w:t>
      </w:r>
    </w:p>
    <w:tbl>
      <w:tblPr>
        <w:tblStyle w:val="37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1161"/>
        <w:gridCol w:w="76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3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部位 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92D050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参数要求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</w:trPr>
        <w:tc>
          <w:tcPr>
            <w:tcW w:w="93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电子件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电子镇流器含断路、短路、过载、输出异常等保护电路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防触电：断电1min后，输出端电压不超过50V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电气强度：基本绝缘</w:t>
            </w:r>
            <w:r>
              <w:rPr>
                <w:rFonts w:ascii="仿宋" w:hAnsi="仿宋" w:eastAsia="仿宋"/>
                <w:sz w:val="24"/>
                <w:szCs w:val="24"/>
              </w:rPr>
              <w:t>2U+1000V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双重或加强绝缘 </w:t>
            </w:r>
            <w:r>
              <w:rPr>
                <w:rFonts w:ascii="仿宋" w:hAnsi="仿宋" w:eastAsia="仿宋"/>
                <w:sz w:val="24"/>
                <w:szCs w:val="24"/>
              </w:rPr>
              <w:t>4U+2000V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电磁干扰：频率范围5M-30M Hz  准峰值限值60dB 平均值限值50dB；30M-300M 准峰值限值37dB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93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光源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LED光源(球</w:t>
            </w:r>
            <w:r>
              <w:rPr>
                <w:rFonts w:ascii="仿宋" w:hAnsi="仿宋" w:eastAsia="仿宋"/>
                <w:sz w:val="24"/>
                <w:szCs w:val="24"/>
              </w:rPr>
              <w:t>泡，软灯带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，硬灯条)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平均寿命不小于15000h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显色性≥70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3000h光通维持率≥85%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7" w:hRule="atLeast"/>
        </w:trPr>
        <w:tc>
          <w:tcPr>
            <w:tcW w:w="317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灯具 </w:t>
            </w:r>
          </w:p>
        </w:tc>
        <w:tc>
          <w:tcPr>
            <w:tcW w:w="619" w:type="pc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吸顶灯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透光性强，防静电不易粘灰尘，抗紫外线不易变色，环保健康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符合GB7000.1-2007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:≥70Lm/W</w:t>
            </w:r>
          </w:p>
          <w:p>
            <w:pPr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7" w:hRule="atLeast"/>
        </w:trPr>
        <w:tc>
          <w:tcPr>
            <w:tcW w:w="317" w:type="pct"/>
            <w:vMerge w:val="continue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吸顶灯 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长租公寓款)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透光性强，防静电不易粘灰尘，抗紫外线不易变色，环保健康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符合GB7000.1-2007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:≥70Lm/W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tabs>
                <w:tab w:val="left" w:pos="72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厨卫灯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透光性强，防静电不易粘灰尘，抗紫外线不易变色，环保健康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温升：安装表面 不超过90℃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:≥70Lm/W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tabs>
                <w:tab w:val="left" w:pos="720"/>
              </w:tabs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厨卫灯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长租公寓款)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亚克力面罩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透光性强，防静电不易粘灰尘，抗紫外线不易变色，环保健康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温升：安装表面 不超过90℃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:≥70Lm/W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T5支架</w:t>
            </w:r>
          </w:p>
        </w:tc>
        <w:tc>
          <w:tcPr>
            <w:tcW w:w="40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符合I 类或II类防触电保护安全级别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高纯PC灯罩，经过高温热化测试，长效耐用，杜绝老化漏电风险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透光率高达93%，高亮且无颗粒感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光</w:t>
            </w:r>
            <w:r>
              <w:rPr>
                <w:rFonts w:ascii="仿宋" w:hAnsi="仿宋" w:eastAsia="仿宋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:≥8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灯体采用优质铝材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UGR&lt;1</w:t>
            </w: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，防眩护眼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:&gt; </w:t>
            </w:r>
            <w:r>
              <w:rPr>
                <w:rFonts w:ascii="仿宋" w:hAnsi="仿宋" w:eastAsia="仿宋"/>
                <w:sz w:val="24"/>
                <w:szCs w:val="24"/>
              </w:rPr>
              <w:t>70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长租公寓款)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</w:t>
            </w:r>
            <w:r>
              <w:rPr>
                <w:rFonts w:ascii="仿宋" w:hAnsi="仿宋" w:eastAsia="仿宋"/>
                <w:sz w:val="24"/>
                <w:szCs w:val="24"/>
              </w:rPr>
              <w:t>70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  <w:r>
              <w:rPr>
                <w:rFonts w:ascii="仿宋" w:hAnsi="仿宋" w:eastAsia="仿宋"/>
                <w:sz w:val="24"/>
                <w:szCs w:val="24"/>
              </w:rPr>
              <w:t>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商业)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灯体采用优质铝材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UGR&lt;1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，防眩护眼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防触电保护等级：I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IP防护等级：IP20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射灯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</w:t>
            </w:r>
            <w:r>
              <w:rPr>
                <w:rFonts w:ascii="仿宋" w:hAnsi="仿宋" w:eastAsia="仿宋"/>
                <w:sz w:val="24"/>
                <w:szCs w:val="24"/>
              </w:rPr>
              <w:t>80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317" w:type="pct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</w:t>
            </w:r>
            <w:r>
              <w:rPr>
                <w:rFonts w:ascii="仿宋" w:hAnsi="仿宋" w:eastAsia="仿宋"/>
                <w:sz w:val="24"/>
                <w:szCs w:val="24"/>
              </w:rPr>
              <w:t>灯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灯体采用优质铝材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UGR&lt;</w:t>
            </w:r>
            <w:r>
              <w:rPr>
                <w:rFonts w:ascii="仿宋" w:hAnsi="仿宋" w:eastAsia="仿宋"/>
                <w:sz w:val="24"/>
                <w:szCs w:val="24"/>
              </w:rPr>
              <w:t>16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，防眩护眼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防触电保护等级：I 或者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 大于</w:t>
            </w:r>
            <w:r>
              <w:rPr>
                <w:rFonts w:ascii="仿宋" w:hAnsi="仿宋" w:eastAsia="仿宋"/>
                <w:sz w:val="24"/>
                <w:szCs w:val="24"/>
              </w:rPr>
              <w:t>等于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W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灯具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≥60Lm/W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ind w:firstLine="1200" w:firstLineChars="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小于</w:t>
            </w:r>
            <w:r>
              <w:rPr>
                <w:rFonts w:ascii="仿宋" w:hAnsi="仿宋" w:eastAsia="仿宋"/>
                <w:sz w:val="24"/>
                <w:szCs w:val="24"/>
              </w:rPr>
              <w:t>5W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灯具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≥5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无频闪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317" w:type="pc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</w:t>
            </w:r>
            <w:r>
              <w:rPr>
                <w:rFonts w:ascii="仿宋" w:hAnsi="仿宋" w:eastAsia="仿宋"/>
                <w:sz w:val="24"/>
                <w:szCs w:val="24"/>
              </w:rPr>
              <w:t>灯(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长租公寓款)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UGR&lt;</w:t>
            </w:r>
            <w:r>
              <w:rPr>
                <w:rFonts w:ascii="仿宋" w:hAnsi="仿宋" w:eastAsia="仿宋"/>
                <w:sz w:val="24"/>
                <w:szCs w:val="24"/>
              </w:rPr>
              <w:t>21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，防眩护眼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防触电保护等级：</w:t>
            </w:r>
            <w:r>
              <w:rPr>
                <w:rFonts w:ascii="仿宋" w:hAnsi="仿宋" w:eastAsia="仿宋"/>
                <w:sz w:val="24"/>
                <w:szCs w:val="24"/>
              </w:rPr>
              <w:t>II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 大于</w:t>
            </w:r>
            <w:r>
              <w:rPr>
                <w:rFonts w:ascii="仿宋" w:hAnsi="仿宋" w:eastAsia="仿宋"/>
                <w:sz w:val="24"/>
                <w:szCs w:val="24"/>
              </w:rPr>
              <w:t>等于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W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灯具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≥60Lm/W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ind w:firstLine="1200" w:firstLineChars="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小于</w:t>
            </w:r>
            <w:r>
              <w:rPr>
                <w:rFonts w:ascii="仿宋" w:hAnsi="仿宋" w:eastAsia="仿宋"/>
                <w:sz w:val="24"/>
                <w:szCs w:val="24"/>
              </w:rPr>
              <w:t>5W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灯具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≥5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3" w:hRule="atLeast"/>
        </w:trPr>
        <w:tc>
          <w:tcPr>
            <w:tcW w:w="317" w:type="pct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</w:t>
            </w:r>
            <w:r>
              <w:rPr>
                <w:rFonts w:ascii="仿宋" w:hAnsi="仿宋" w:eastAsia="仿宋"/>
                <w:sz w:val="24"/>
                <w:szCs w:val="24"/>
              </w:rPr>
              <w:t>灯(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商业)</w:t>
            </w:r>
          </w:p>
        </w:tc>
        <w:tc>
          <w:tcPr>
            <w:tcW w:w="4064" w:type="pc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" w:type="dxa"/>
              <w:bottom w:w="0" w:type="dxa"/>
              <w:right w:w="1" w:type="dxa"/>
            </w:tcMar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灯体采用优质铝材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UGR&lt;</w:t>
            </w:r>
            <w:r>
              <w:rPr>
                <w:rFonts w:ascii="仿宋" w:hAnsi="仿宋" w:eastAsia="仿宋"/>
                <w:sz w:val="24"/>
                <w:szCs w:val="24"/>
              </w:rPr>
              <w:t>19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，防眩护眼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防触电保护等级：I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IP防护等级：IP20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外部接线：普通灯具 不小于0.75mm2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温升：安装表面 不超过90℃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筒灯</w:t>
            </w:r>
            <w:r>
              <w:rPr>
                <w:rFonts w:ascii="仿宋" w:hAnsi="仿宋" w:eastAsia="仿宋"/>
                <w:sz w:val="24"/>
                <w:szCs w:val="24"/>
              </w:rPr>
              <w:t>光效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:≥</w:t>
            </w:r>
            <w:r>
              <w:rPr>
                <w:rFonts w:ascii="仿宋" w:hAnsi="仿宋" w:eastAsia="仿宋"/>
                <w:sz w:val="24"/>
                <w:szCs w:val="24"/>
              </w:rPr>
              <w:t>90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Lm/W</w:t>
            </w:r>
          </w:p>
        </w:tc>
      </w:tr>
    </w:tbl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numPr>
          <w:ilvl w:val="0"/>
          <w:numId w:val="15"/>
        </w:num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其它通用要求</w:t>
      </w:r>
    </w:p>
    <w:p>
      <w:pPr>
        <w:numPr>
          <w:ilvl w:val="0"/>
          <w:numId w:val="16"/>
        </w:numPr>
        <w:tabs>
          <w:tab w:val="left" w:pos="540"/>
          <w:tab w:val="clear" w:pos="840"/>
        </w:tabs>
        <w:spacing w:line="360" w:lineRule="auto"/>
        <w:ind w:left="540" w:hanging="5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灯具及电器产品必须取得3C认证；</w:t>
      </w:r>
    </w:p>
    <w:p>
      <w:pPr>
        <w:numPr>
          <w:ilvl w:val="0"/>
          <w:numId w:val="16"/>
        </w:numPr>
        <w:tabs>
          <w:tab w:val="left" w:pos="540"/>
          <w:tab w:val="clear" w:pos="840"/>
        </w:tabs>
        <w:spacing w:line="360" w:lineRule="auto"/>
        <w:ind w:left="540" w:hanging="5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产品型式检验报告；</w:t>
      </w:r>
    </w:p>
    <w:p>
      <w:pPr>
        <w:numPr>
          <w:ilvl w:val="0"/>
          <w:numId w:val="16"/>
        </w:numPr>
        <w:tabs>
          <w:tab w:val="left" w:pos="540"/>
          <w:tab w:val="clear" w:pos="840"/>
        </w:tabs>
        <w:spacing w:line="360" w:lineRule="auto"/>
        <w:ind w:left="540" w:hanging="5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灯具导线：105度阻燃耐热线；</w:t>
      </w:r>
    </w:p>
    <w:p>
      <w:pPr>
        <w:numPr>
          <w:ilvl w:val="0"/>
          <w:numId w:val="16"/>
        </w:numPr>
        <w:tabs>
          <w:tab w:val="left" w:pos="540"/>
          <w:tab w:val="clear" w:pos="840"/>
        </w:tabs>
        <w:spacing w:line="360" w:lineRule="auto"/>
        <w:ind w:left="540" w:hanging="54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灯具标识应完整，符合国家标准规范要求；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numPr>
          <w:ilvl w:val="0"/>
          <w:numId w:val="15"/>
        </w:num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执行标准</w:t>
      </w:r>
    </w:p>
    <w:p>
      <w:p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除另有注明外，灯具须符合设计、图纸和相关国家、地方及行业标准，主要包括但不限于：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GB7000.1-2007《灯具一般安全要求与试验》；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GB7000.2-2008《</w:t>
      </w:r>
      <w:r>
        <w:rPr>
          <w:rFonts w:hint="eastAsia" w:ascii="仿宋" w:hAnsi="仿宋" w:eastAsia="仿宋" w:cs="Times New Roman"/>
          <w:color w:val="auto"/>
        </w:rPr>
        <w:t>应急照明</w:t>
      </w:r>
      <w:r>
        <w:rPr>
          <w:rFonts w:ascii="仿宋" w:hAnsi="仿宋" w:eastAsia="仿宋" w:cs="Times New Roman"/>
          <w:color w:val="auto"/>
        </w:rPr>
        <w:t>灯具安全要求》；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GB7000.201-2008《固定式</w:t>
      </w:r>
      <w:r>
        <w:rPr>
          <w:rFonts w:hint="eastAsia" w:ascii="仿宋" w:hAnsi="仿宋" w:eastAsia="仿宋" w:cs="Times New Roman"/>
          <w:color w:val="auto"/>
        </w:rPr>
        <w:t>通用</w:t>
      </w:r>
      <w:r>
        <w:rPr>
          <w:rFonts w:ascii="仿宋" w:hAnsi="仿宋" w:eastAsia="仿宋" w:cs="Times New Roman"/>
          <w:color w:val="auto"/>
        </w:rPr>
        <w:t>灯具安全要求》；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GB7000.202-2008《</w:t>
      </w:r>
      <w:r>
        <w:rPr>
          <w:rFonts w:hint="eastAsia" w:ascii="仿宋" w:hAnsi="仿宋" w:eastAsia="仿宋" w:cs="Times New Roman"/>
          <w:color w:val="auto"/>
        </w:rPr>
        <w:t>嵌入式</w:t>
      </w:r>
      <w:r>
        <w:rPr>
          <w:rFonts w:ascii="仿宋" w:hAnsi="仿宋" w:eastAsia="仿宋" w:cs="Times New Roman"/>
          <w:color w:val="auto"/>
        </w:rPr>
        <w:t>灯具安全要求》；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GB19510.1</w:t>
      </w:r>
      <w:r>
        <w:rPr>
          <w:rFonts w:hint="eastAsia" w:ascii="仿宋" w:hAnsi="仿宋" w:eastAsia="仿宋" w:cs="Times New Roman"/>
          <w:color w:val="auto"/>
        </w:rPr>
        <w:t>-2009</w:t>
      </w:r>
      <w:r>
        <w:rPr>
          <w:rFonts w:ascii="仿宋" w:hAnsi="仿宋" w:eastAsia="仿宋" w:cs="Times New Roman"/>
          <w:color w:val="auto"/>
        </w:rPr>
        <w:t>《</w:t>
      </w:r>
      <w:r>
        <w:rPr>
          <w:rFonts w:hint="eastAsia" w:ascii="仿宋" w:hAnsi="仿宋" w:eastAsia="仿宋" w:cs="Times New Roman"/>
          <w:color w:val="auto"/>
        </w:rPr>
        <w:t>灯</w:t>
      </w:r>
      <w:r>
        <w:rPr>
          <w:rFonts w:ascii="仿宋" w:hAnsi="仿宋" w:eastAsia="仿宋" w:cs="Times New Roman"/>
          <w:color w:val="auto"/>
        </w:rPr>
        <w:t>的控制</w:t>
      </w:r>
      <w:r>
        <w:rPr>
          <w:rFonts w:hint="eastAsia" w:ascii="仿宋" w:hAnsi="仿宋" w:eastAsia="仿宋" w:cs="Times New Roman"/>
          <w:color w:val="auto"/>
        </w:rPr>
        <w:t>装置 第1部分：</w:t>
      </w:r>
      <w:r>
        <w:rPr>
          <w:rFonts w:ascii="仿宋" w:hAnsi="仿宋" w:eastAsia="仿宋" w:cs="Times New Roman"/>
          <w:color w:val="auto"/>
        </w:rPr>
        <w:t>一般要求与安全要求》</w:t>
      </w:r>
      <w:r>
        <w:rPr>
          <w:rFonts w:hint="eastAsia"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GB19510.14-2009《</w:t>
      </w:r>
      <w:r>
        <w:rPr>
          <w:rFonts w:hint="eastAsia" w:ascii="仿宋" w:hAnsi="仿宋" w:eastAsia="仿宋" w:cs="Times New Roman"/>
          <w:color w:val="auto"/>
        </w:rPr>
        <w:t>灯</w:t>
      </w:r>
      <w:r>
        <w:rPr>
          <w:rFonts w:ascii="仿宋" w:hAnsi="仿宋" w:eastAsia="仿宋" w:cs="Times New Roman"/>
          <w:color w:val="auto"/>
        </w:rPr>
        <w:t>的控制</w:t>
      </w:r>
      <w:r>
        <w:rPr>
          <w:rFonts w:hint="eastAsia" w:ascii="仿宋" w:hAnsi="仿宋" w:eastAsia="仿宋" w:cs="Times New Roman"/>
          <w:color w:val="auto"/>
        </w:rPr>
        <w:t>装置 第1</w:t>
      </w:r>
      <w:r>
        <w:rPr>
          <w:rFonts w:ascii="仿宋" w:hAnsi="仿宋" w:eastAsia="仿宋" w:cs="Times New Roman"/>
          <w:color w:val="auto"/>
        </w:rPr>
        <w:t>4</w:t>
      </w:r>
      <w:r>
        <w:rPr>
          <w:rFonts w:hint="eastAsia" w:ascii="仿宋" w:hAnsi="仿宋" w:eastAsia="仿宋" w:cs="Times New Roman"/>
          <w:color w:val="auto"/>
        </w:rPr>
        <w:t>部分：L</w:t>
      </w:r>
      <w:r>
        <w:rPr>
          <w:rFonts w:ascii="仿宋" w:hAnsi="仿宋" w:eastAsia="仿宋" w:cs="Times New Roman"/>
          <w:color w:val="auto"/>
        </w:rPr>
        <w:t>ED</w:t>
      </w:r>
      <w:r>
        <w:rPr>
          <w:rFonts w:hint="eastAsia" w:ascii="仿宋" w:hAnsi="仿宋" w:eastAsia="仿宋" w:cs="Times New Roman"/>
          <w:color w:val="auto"/>
        </w:rPr>
        <w:t>模块用</w:t>
      </w:r>
      <w:r>
        <w:rPr>
          <w:rFonts w:ascii="仿宋" w:hAnsi="仿宋" w:eastAsia="仿宋" w:cs="Times New Roman"/>
          <w:color w:val="auto"/>
        </w:rPr>
        <w:t>直流</w:t>
      </w:r>
      <w:r>
        <w:rPr>
          <w:rFonts w:hint="eastAsia" w:ascii="仿宋" w:hAnsi="仿宋" w:eastAsia="仿宋" w:cs="Times New Roman"/>
          <w:color w:val="auto"/>
        </w:rPr>
        <w:t>或</w:t>
      </w:r>
      <w:r>
        <w:rPr>
          <w:rFonts w:ascii="仿宋" w:hAnsi="仿宋" w:eastAsia="仿宋" w:cs="Times New Roman"/>
          <w:color w:val="auto"/>
        </w:rPr>
        <w:t>交流</w:t>
      </w:r>
      <w:r>
        <w:rPr>
          <w:rFonts w:hint="eastAsia" w:ascii="仿宋" w:hAnsi="仿宋" w:eastAsia="仿宋" w:cs="Times New Roman"/>
          <w:color w:val="auto"/>
        </w:rPr>
        <w:t>电子</w:t>
      </w:r>
      <w:r>
        <w:rPr>
          <w:rFonts w:ascii="仿宋" w:hAnsi="仿宋" w:eastAsia="仿宋" w:cs="Times New Roman"/>
          <w:color w:val="auto"/>
        </w:rPr>
        <w:t>控制</w:t>
      </w:r>
      <w:r>
        <w:rPr>
          <w:rFonts w:hint="eastAsia" w:ascii="仿宋" w:hAnsi="仿宋" w:eastAsia="仿宋" w:cs="Times New Roman"/>
          <w:color w:val="auto"/>
        </w:rPr>
        <w:t>装置</w:t>
      </w:r>
      <w:r>
        <w:rPr>
          <w:rFonts w:ascii="仿宋" w:hAnsi="仿宋" w:eastAsia="仿宋" w:cs="Times New Roman"/>
          <w:color w:val="auto"/>
        </w:rPr>
        <w:t>的特殊要求》</w:t>
      </w:r>
      <w:r>
        <w:rPr>
          <w:rFonts w:hint="eastAsia"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</w:t>
      </w:r>
      <w:r>
        <w:rPr>
          <w:rFonts w:ascii="仿宋" w:hAnsi="仿宋" w:eastAsia="仿宋" w:cs="Times New Roman"/>
          <w:color w:val="auto"/>
        </w:rPr>
        <w:t>B17743-2007《</w:t>
      </w:r>
      <w:r>
        <w:rPr>
          <w:rFonts w:hint="eastAsia" w:ascii="仿宋" w:hAnsi="仿宋" w:eastAsia="仿宋" w:cs="Times New Roman"/>
          <w:color w:val="auto"/>
        </w:rPr>
        <w:t>电气</w:t>
      </w:r>
      <w:r>
        <w:rPr>
          <w:rFonts w:ascii="仿宋" w:hAnsi="仿宋" w:eastAsia="仿宋" w:cs="Times New Roman"/>
          <w:color w:val="auto"/>
        </w:rPr>
        <w:t>照明</w:t>
      </w:r>
      <w:r>
        <w:rPr>
          <w:rFonts w:hint="eastAsia" w:ascii="仿宋" w:hAnsi="仿宋" w:eastAsia="仿宋" w:cs="Times New Roman"/>
          <w:color w:val="auto"/>
        </w:rPr>
        <w:t>和</w:t>
      </w:r>
      <w:r>
        <w:rPr>
          <w:rFonts w:ascii="仿宋" w:hAnsi="仿宋" w:eastAsia="仿宋" w:cs="Times New Roman"/>
          <w:color w:val="auto"/>
        </w:rPr>
        <w:t>类似</w:t>
      </w:r>
      <w:r>
        <w:rPr>
          <w:rFonts w:hint="eastAsia" w:ascii="仿宋" w:hAnsi="仿宋" w:eastAsia="仿宋" w:cs="Times New Roman"/>
          <w:color w:val="auto"/>
        </w:rPr>
        <w:t>设备</w:t>
      </w:r>
      <w:r>
        <w:rPr>
          <w:rFonts w:ascii="仿宋" w:hAnsi="仿宋" w:eastAsia="仿宋" w:cs="Times New Roman"/>
          <w:color w:val="auto"/>
        </w:rPr>
        <w:t>的无线干扰</w:t>
      </w:r>
      <w:r>
        <w:rPr>
          <w:rFonts w:hint="eastAsia" w:ascii="仿宋" w:hAnsi="仿宋" w:eastAsia="仿宋" w:cs="Times New Roman"/>
          <w:color w:val="auto"/>
        </w:rPr>
        <w:t>特性</w:t>
      </w:r>
      <w:r>
        <w:rPr>
          <w:rFonts w:ascii="仿宋" w:hAnsi="仿宋" w:eastAsia="仿宋" w:cs="Times New Roman"/>
          <w:color w:val="auto"/>
        </w:rPr>
        <w:t>的限</w:t>
      </w:r>
      <w:r>
        <w:rPr>
          <w:rFonts w:hint="eastAsia" w:ascii="仿宋" w:hAnsi="仿宋" w:eastAsia="仿宋" w:cs="Times New Roman"/>
          <w:color w:val="auto"/>
        </w:rPr>
        <w:t>值和</w:t>
      </w:r>
      <w:r>
        <w:rPr>
          <w:rFonts w:ascii="仿宋" w:hAnsi="仿宋" w:eastAsia="仿宋" w:cs="Times New Roman"/>
          <w:color w:val="auto"/>
        </w:rPr>
        <w:t>测量方法》</w:t>
      </w:r>
      <w:r>
        <w:rPr>
          <w:rFonts w:hint="eastAsia"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</w:t>
      </w:r>
      <w:r>
        <w:rPr>
          <w:rFonts w:ascii="仿宋" w:hAnsi="仿宋" w:eastAsia="仿宋" w:cs="Times New Roman"/>
          <w:color w:val="auto"/>
        </w:rPr>
        <w:t>B17625.1-2012《</w:t>
      </w:r>
      <w:r>
        <w:rPr>
          <w:rFonts w:hint="eastAsia" w:ascii="仿宋" w:hAnsi="仿宋" w:eastAsia="仿宋" w:cs="Times New Roman"/>
          <w:color w:val="auto"/>
        </w:rPr>
        <w:t>电磁兼容 限</w:t>
      </w:r>
      <w:r>
        <w:rPr>
          <w:rFonts w:ascii="仿宋" w:hAnsi="仿宋" w:eastAsia="仿宋" w:cs="Times New Roman"/>
          <w:color w:val="auto"/>
        </w:rPr>
        <w:t>值</w:t>
      </w:r>
      <w:r>
        <w:rPr>
          <w:rFonts w:hint="eastAsia" w:ascii="仿宋" w:hAnsi="仿宋" w:eastAsia="仿宋" w:cs="Times New Roman"/>
          <w:color w:val="auto"/>
        </w:rPr>
        <w:t xml:space="preserve">  谐波</w:t>
      </w:r>
      <w:r>
        <w:rPr>
          <w:rFonts w:ascii="仿宋" w:hAnsi="仿宋" w:eastAsia="仿宋" w:cs="Times New Roman"/>
          <w:color w:val="auto"/>
        </w:rPr>
        <w:t>电流的发射限值</w:t>
      </w:r>
      <w:r>
        <w:rPr>
          <w:rFonts w:hint="eastAsia" w:ascii="仿宋" w:hAnsi="仿宋" w:eastAsia="仿宋" w:cs="Times New Roman"/>
          <w:color w:val="auto"/>
        </w:rPr>
        <w:t>（</w:t>
      </w:r>
      <w:r>
        <w:rPr>
          <w:rFonts w:ascii="仿宋" w:hAnsi="仿宋" w:eastAsia="仿宋" w:cs="Times New Roman"/>
          <w:color w:val="auto"/>
        </w:rPr>
        <w:t>设备每相</w:t>
      </w:r>
      <w:r>
        <w:rPr>
          <w:rFonts w:hint="eastAsia" w:ascii="仿宋" w:hAnsi="仿宋" w:eastAsia="仿宋" w:cs="Times New Roman"/>
          <w:color w:val="auto"/>
        </w:rPr>
        <w:t>输入</w:t>
      </w:r>
      <w:r>
        <w:rPr>
          <w:rFonts w:ascii="仿宋" w:hAnsi="仿宋" w:eastAsia="仿宋" w:cs="Times New Roman"/>
          <w:color w:val="auto"/>
        </w:rPr>
        <w:t>电流</w:t>
      </w:r>
      <w:r>
        <w:rPr>
          <w:rFonts w:hint="eastAsia" w:ascii="仿宋" w:hAnsi="仿宋" w:eastAsia="仿宋" w:cs="Times New Roman"/>
          <w:color w:val="auto"/>
        </w:rPr>
        <w:t>≤16A</w:t>
      </w:r>
      <w:r>
        <w:rPr>
          <w:rFonts w:ascii="仿宋" w:hAnsi="仿宋" w:eastAsia="仿宋" w:cs="Times New Roman"/>
          <w:color w:val="auto"/>
        </w:rPr>
        <w:t>》</w:t>
      </w:r>
      <w:r>
        <w:rPr>
          <w:rFonts w:hint="eastAsia"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GB4208-2008《</w:t>
      </w:r>
      <w:r>
        <w:rPr>
          <w:rFonts w:hint="eastAsia" w:ascii="仿宋" w:hAnsi="仿宋" w:eastAsia="仿宋" w:cs="Times New Roman"/>
          <w:color w:val="auto"/>
        </w:rPr>
        <w:t>外壳防护等级(IP代码)</w:t>
      </w:r>
      <w:r>
        <w:rPr>
          <w:rFonts w:ascii="仿宋" w:hAnsi="仿宋" w:eastAsia="仿宋" w:cs="Times New Roman"/>
          <w:color w:val="auto"/>
        </w:rPr>
        <w:t>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</w:t>
      </w:r>
      <w:r>
        <w:rPr>
          <w:rFonts w:ascii="仿宋" w:hAnsi="仿宋" w:eastAsia="仿宋" w:cs="Times New Roman"/>
          <w:color w:val="auto"/>
        </w:rPr>
        <w:t>/</w:t>
      </w:r>
      <w:r>
        <w:rPr>
          <w:rFonts w:hint="eastAsia" w:ascii="仿宋" w:hAnsi="仿宋" w:eastAsia="仿宋" w:cs="Times New Roman"/>
          <w:color w:val="auto"/>
        </w:rPr>
        <w:t>T 24908-2010《普通照明用自镇流LED灯性能要求》</w:t>
      </w:r>
      <w:r>
        <w:rPr>
          <w:rFonts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</w:t>
      </w:r>
      <w:r>
        <w:rPr>
          <w:rFonts w:ascii="仿宋" w:hAnsi="仿宋" w:eastAsia="仿宋" w:cs="Times New Roman"/>
          <w:color w:val="auto"/>
        </w:rPr>
        <w:t>B/T 29294-2012《</w:t>
      </w:r>
      <w:r>
        <w:rPr>
          <w:rFonts w:hint="eastAsia" w:ascii="仿宋" w:hAnsi="仿宋" w:eastAsia="仿宋" w:cs="Times New Roman"/>
          <w:color w:val="auto"/>
        </w:rPr>
        <w:t>L</w:t>
      </w:r>
      <w:r>
        <w:rPr>
          <w:rFonts w:ascii="仿宋" w:hAnsi="仿宋" w:eastAsia="仿宋" w:cs="Times New Roman"/>
          <w:color w:val="auto"/>
        </w:rPr>
        <w:t>ED</w:t>
      </w:r>
      <w:r>
        <w:rPr>
          <w:rFonts w:hint="eastAsia" w:ascii="仿宋" w:hAnsi="仿宋" w:eastAsia="仿宋" w:cs="Times New Roman"/>
          <w:color w:val="auto"/>
        </w:rPr>
        <w:t>筒灯</w:t>
      </w:r>
      <w:r>
        <w:rPr>
          <w:rFonts w:ascii="仿宋" w:hAnsi="仿宋" w:eastAsia="仿宋" w:cs="Times New Roman"/>
          <w:color w:val="auto"/>
        </w:rPr>
        <w:t>性能要求》；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</w:t>
      </w:r>
      <w:r>
        <w:rPr>
          <w:rFonts w:ascii="仿宋" w:hAnsi="仿宋" w:eastAsia="仿宋" w:cs="Times New Roman"/>
          <w:color w:val="auto"/>
        </w:rPr>
        <w:t>/</w:t>
      </w:r>
      <w:r>
        <w:rPr>
          <w:rFonts w:hint="eastAsia" w:ascii="仿宋" w:hAnsi="仿宋" w:eastAsia="仿宋" w:cs="Times New Roman"/>
          <w:color w:val="auto"/>
        </w:rPr>
        <w:t>T30413-2013《嵌入式LED灯具性能要求》</w:t>
      </w:r>
      <w:r>
        <w:rPr>
          <w:rFonts w:ascii="仿宋" w:hAnsi="仿宋" w:eastAsia="仿宋" w:cs="Times New Roman"/>
          <w:color w:val="auto"/>
        </w:rPr>
        <w:t xml:space="preserve">； 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IEC/EN 62776《双端LED 灯管安全要求》</w:t>
      </w:r>
      <w:r>
        <w:rPr>
          <w:rFonts w:ascii="仿宋" w:hAnsi="仿宋" w:eastAsia="仿宋" w:cs="Times New Roman"/>
          <w:color w:val="auto"/>
        </w:rPr>
        <w:t>；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GB50034-2013《建筑照明设计标准》</w:t>
      </w:r>
      <w:r>
        <w:rPr>
          <w:rFonts w:ascii="仿宋" w:hAnsi="仿宋" w:eastAsia="仿宋" w:cs="Times New Roman"/>
          <w:color w:val="auto"/>
        </w:rPr>
        <w:t>；</w:t>
      </w:r>
    </w:p>
    <w:p>
      <w:pPr>
        <w:pStyle w:val="116"/>
        <w:numPr>
          <w:ilvl w:val="0"/>
          <w:numId w:val="17"/>
        </w:numPr>
        <w:tabs>
          <w:tab w:val="left" w:pos="709"/>
        </w:tabs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GB/T13037-1991《固定式通用灯具技术条件》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/>
          <w:color w:val="auto"/>
        </w:rPr>
        <w:t>GB70</w:t>
      </w:r>
      <w:r>
        <w:rPr>
          <w:rFonts w:hint="eastAsia" w:ascii="仿宋" w:hAnsi="仿宋" w:eastAsia="仿宋" w:cs="Times New Roman"/>
          <w:color w:val="auto"/>
        </w:rPr>
        <w:t>01-1986《灯具外壳防护等级分类》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GB/T7002-</w:t>
      </w:r>
      <w:r>
        <w:rPr>
          <w:rFonts w:ascii="仿宋" w:hAnsi="仿宋" w:eastAsia="仿宋" w:cs="Times New Roman"/>
          <w:color w:val="auto"/>
        </w:rPr>
        <w:t>2008</w:t>
      </w:r>
      <w:r>
        <w:rPr>
          <w:rFonts w:hint="eastAsia" w:ascii="仿宋" w:hAnsi="仿宋" w:eastAsia="仿宋" w:cs="Times New Roman"/>
          <w:color w:val="auto"/>
        </w:rPr>
        <w:t>《投光照明灯具光度测试》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GB/T946</w:t>
      </w:r>
      <w:r>
        <w:rPr>
          <w:rFonts w:ascii="仿宋" w:hAnsi="仿宋" w:eastAsia="仿宋" w:cs="Times New Roman"/>
          <w:color w:val="auto"/>
        </w:rPr>
        <w:t>8</w:t>
      </w:r>
      <w:r>
        <w:rPr>
          <w:rFonts w:hint="eastAsia" w:ascii="仿宋" w:hAnsi="仿宋" w:eastAsia="仿宋" w:cs="Times New Roman"/>
          <w:color w:val="auto"/>
        </w:rPr>
        <w:t>-</w:t>
      </w:r>
      <w:r>
        <w:rPr>
          <w:rFonts w:ascii="仿宋" w:hAnsi="仿宋" w:eastAsia="仿宋" w:cs="Times New Roman"/>
          <w:color w:val="auto"/>
        </w:rPr>
        <w:t>200</w:t>
      </w:r>
      <w:r>
        <w:rPr>
          <w:rFonts w:hint="eastAsia" w:ascii="仿宋" w:hAnsi="仿宋" w:eastAsia="仿宋" w:cs="Times New Roman"/>
          <w:color w:val="auto"/>
        </w:rPr>
        <w:t>8《灯具分布光度测量的一般要求》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GB/T13036-1991《可移式通用灯具技术条件》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GB/T13037-1991《固定式通用灯具技术条件》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GB13961-2</w:t>
      </w:r>
      <w:r>
        <w:rPr>
          <w:rFonts w:ascii="仿宋" w:hAnsi="仿宋" w:eastAsia="仿宋" w:cs="Times New Roman"/>
          <w:color w:val="auto"/>
        </w:rPr>
        <w:t>008</w:t>
      </w:r>
      <w:r>
        <w:rPr>
          <w:rFonts w:hint="eastAsia" w:ascii="仿宋" w:hAnsi="仿宋" w:eastAsia="仿宋" w:cs="Times New Roman"/>
          <w:color w:val="auto"/>
        </w:rPr>
        <w:t>《灯具用电源导轨系统》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GB7000.7-</w:t>
      </w:r>
      <w:r>
        <w:rPr>
          <w:rFonts w:ascii="仿宋" w:hAnsi="仿宋" w:eastAsia="仿宋" w:cs="Times New Roman"/>
          <w:color w:val="auto"/>
        </w:rPr>
        <w:t>2005</w:t>
      </w:r>
      <w:r>
        <w:rPr>
          <w:rFonts w:hint="eastAsia" w:ascii="仿宋" w:hAnsi="仿宋" w:eastAsia="仿宋" w:cs="Times New Roman"/>
          <w:color w:val="auto"/>
        </w:rPr>
        <w:t>《投光灯具安全要求》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GB17625.1-2003《低压电气及电子设备发出的谐波电流限值》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GB18774-2002《</w:t>
      </w:r>
      <w:r>
        <w:rPr>
          <w:rFonts w:ascii="仿宋" w:hAnsi="仿宋" w:eastAsia="仿宋" w:cs="Times New Roman"/>
          <w:color w:val="auto"/>
        </w:rPr>
        <w:t>双端荧光灯安全要求</w:t>
      </w:r>
      <w:r>
        <w:rPr>
          <w:rFonts w:hint="eastAsia" w:ascii="仿宋" w:hAnsi="仿宋" w:eastAsia="仿宋" w:cs="Times New Roman"/>
          <w:color w:val="auto"/>
        </w:rPr>
        <w:t>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GB19043-2003《</w:t>
      </w:r>
      <w:r>
        <w:rPr>
          <w:rFonts w:ascii="仿宋" w:hAnsi="仿宋" w:eastAsia="仿宋" w:cs="Times New Roman"/>
          <w:color w:val="auto"/>
        </w:rPr>
        <w:t>普通照明用双端荧光灯能效限定值及能效等级</w:t>
      </w:r>
      <w:r>
        <w:rPr>
          <w:rFonts w:hint="eastAsia" w:ascii="仿宋" w:hAnsi="仿宋" w:eastAsia="仿宋" w:cs="Times New Roman"/>
          <w:color w:val="auto"/>
        </w:rPr>
        <w:t>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GB19044-2003《</w:t>
      </w:r>
      <w:r>
        <w:rPr>
          <w:rFonts w:ascii="仿宋" w:hAnsi="仿宋" w:eastAsia="仿宋" w:cs="Times New Roman"/>
          <w:color w:val="auto"/>
        </w:rPr>
        <w:t>自镇流荧光灯能效限定值及能效等级</w:t>
      </w:r>
      <w:r>
        <w:rPr>
          <w:rFonts w:hint="eastAsia" w:ascii="仿宋" w:hAnsi="仿宋" w:eastAsia="仿宋" w:cs="Times New Roman"/>
          <w:color w:val="auto"/>
        </w:rPr>
        <w:t>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GB17945-2000《消防应急灯具》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GB/T7922-2008《照明光源颜色的测量方法》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ascii="仿宋" w:hAnsi="仿宋" w:eastAsia="仿宋" w:cs="Times New Roman"/>
          <w:color w:val="auto"/>
        </w:rPr>
        <w:t>IEEE Std 1789-2015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GB/T24824-2009《普通照明用LED模块测试方法》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GB/T24823-2017《普通照明用LED模块 性能要求》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 w:cs="Times New Roman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GB/T30413-2013《嵌入式LED灯具性能要求》</w:t>
      </w:r>
    </w:p>
    <w:p>
      <w:pPr>
        <w:pStyle w:val="115"/>
        <w:numPr>
          <w:ilvl w:val="0"/>
          <w:numId w:val="17"/>
        </w:numPr>
        <w:spacing w:line="360" w:lineRule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 w:cs="Times New Roman"/>
          <w:color w:val="auto"/>
        </w:rPr>
        <w:t>GB/T31831-</w:t>
      </w:r>
      <w:r>
        <w:rPr>
          <w:rFonts w:ascii="仿宋" w:hAnsi="仿宋" w:eastAsia="仿宋" w:cs="Times New Roman"/>
          <w:color w:val="auto"/>
        </w:rPr>
        <w:t>2015</w:t>
      </w:r>
      <w:r>
        <w:rPr>
          <w:rFonts w:hint="eastAsia" w:ascii="仿宋" w:hAnsi="仿宋" w:eastAsia="仿宋" w:cs="Times New Roman"/>
          <w:color w:val="auto"/>
        </w:rPr>
        <w:t>《LED室内照明应用技术要求》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</w:p>
    <w:p>
      <w:p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各项规范有不同标准或要求不对称时，以最优技术及检验标准为准，并达到各类规范或规定的优等品标准。如有新规范标准，投标单位应无条件采用新的国家规范标准。如所选产品未有规范或技术要求，各投标单位按自有产品在投标书中详细说明。</w:t>
      </w:r>
    </w:p>
    <w:p>
      <w:p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b/>
          <w:sz w:val="24"/>
          <w:szCs w:val="24"/>
        </w:rPr>
      </w:pPr>
    </w:p>
    <w:p>
      <w:pPr>
        <w:numPr>
          <w:ilvl w:val="0"/>
          <w:numId w:val="15"/>
        </w:numPr>
        <w:tabs>
          <w:tab w:val="left" w:pos="720"/>
        </w:tabs>
        <w:adjustRightInd w:val="0"/>
        <w:snapToGrid w:val="0"/>
        <w:spacing w:line="360" w:lineRule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产品保修</w:t>
      </w:r>
    </w:p>
    <w:p>
      <w:pPr>
        <w:pStyle w:val="48"/>
        <w:numPr>
          <w:ilvl w:val="0"/>
          <w:numId w:val="18"/>
        </w:numPr>
        <w:adjustRightInd w:val="0"/>
        <w:snapToGrid w:val="0"/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bCs/>
          <w:kern w:val="0"/>
          <w:sz w:val="24"/>
          <w:szCs w:val="24"/>
        </w:rPr>
        <w:t>LED一体化灯具：</w:t>
      </w:r>
      <w:r>
        <w:rPr>
          <w:rFonts w:hint="eastAsia" w:ascii="仿宋" w:hAnsi="仿宋" w:eastAsia="仿宋" w:cs="宋体"/>
          <w:kern w:val="0"/>
          <w:sz w:val="24"/>
          <w:szCs w:val="24"/>
        </w:rPr>
        <w:t>保修期24个月；</w:t>
      </w:r>
    </w:p>
    <w:p>
      <w:pPr>
        <w:pStyle w:val="48"/>
        <w:numPr>
          <w:ilvl w:val="0"/>
          <w:numId w:val="18"/>
        </w:numPr>
        <w:adjustRightInd w:val="0"/>
        <w:snapToGrid w:val="0"/>
        <w:spacing w:line="360" w:lineRule="auto"/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bCs/>
          <w:kern w:val="0"/>
          <w:sz w:val="24"/>
          <w:szCs w:val="24"/>
        </w:rPr>
        <w:t>LED光源：</w:t>
      </w:r>
      <w:r>
        <w:rPr>
          <w:rFonts w:hint="eastAsia" w:ascii="仿宋" w:hAnsi="仿宋" w:eastAsia="仿宋" w:cs="宋体"/>
          <w:kern w:val="0"/>
          <w:sz w:val="24"/>
          <w:szCs w:val="24"/>
        </w:rPr>
        <w:t>保修期24个月；</w:t>
      </w:r>
    </w:p>
    <w:p>
      <w:pPr>
        <w:widowControl/>
        <w:jc w:val="left"/>
        <w:rPr>
          <w:rFonts w:ascii="仿宋" w:hAnsi="仿宋" w:eastAsia="仿宋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LED灯具电源：保修期24个月。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F002F9"/>
    <w:multiLevelType w:val="multilevel"/>
    <w:tmpl w:val="05F002F9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196C73A0"/>
    <w:multiLevelType w:val="multilevel"/>
    <w:tmpl w:val="196C73A0"/>
    <w:lvl w:ilvl="0" w:tentative="0">
      <w:start w:val="6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9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0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4FD272D0"/>
    <w:multiLevelType w:val="multilevel"/>
    <w:tmpl w:val="4FD272D0"/>
    <w:lvl w:ilvl="0" w:tentative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0FE5DE9"/>
    <w:multiLevelType w:val="multilevel"/>
    <w:tmpl w:val="50FE5DE9"/>
    <w:lvl w:ilvl="0" w:tentative="0">
      <w:start w:val="11"/>
      <w:numFmt w:val="decimal"/>
      <w:lvlText w:val="%1、"/>
      <w:lvlJc w:val="left"/>
      <w:pPr>
        <w:ind w:left="852" w:hanging="432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D804A55"/>
    <w:multiLevelType w:val="multilevel"/>
    <w:tmpl w:val="5D804A55"/>
    <w:lvl w:ilvl="0" w:tentative="0">
      <w:start w:val="1"/>
      <w:numFmt w:val="decimal"/>
      <w:lvlText w:val="%1）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5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6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>
    <w:nsid w:val="79FC0F04"/>
    <w:multiLevelType w:val="multilevel"/>
    <w:tmpl w:val="79FC0F04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16"/>
  </w:num>
  <w:num w:numId="9">
    <w:abstractNumId w:val="10"/>
  </w:num>
  <w:num w:numId="10">
    <w:abstractNumId w:val="6"/>
  </w:num>
  <w:num w:numId="11">
    <w:abstractNumId w:val="15"/>
  </w:num>
  <w:num w:numId="12">
    <w:abstractNumId w:val="13"/>
  </w:num>
  <w:num w:numId="13">
    <w:abstractNumId w:val="5"/>
  </w:num>
  <w:num w:numId="14">
    <w:abstractNumId w:val="12"/>
  </w:num>
  <w:num w:numId="15">
    <w:abstractNumId w:val="11"/>
  </w:num>
  <w:num w:numId="16">
    <w:abstractNumId w:val="14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74616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D48EA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4069"/>
    <w:rsid w:val="00665A72"/>
    <w:rsid w:val="00674094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717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501D6"/>
    <w:rsid w:val="00C50965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47B57"/>
    <w:rsid w:val="00E51CFC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1893"/>
    <w:rsid w:val="00F2219D"/>
    <w:rsid w:val="00F22895"/>
    <w:rsid w:val="00F23624"/>
    <w:rsid w:val="00F258C1"/>
    <w:rsid w:val="00F37726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69DD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qFormat="1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qFormat="1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qFormat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qFormat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qFormat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qFormat/>
    <w:uiPriority w:val="0"/>
    <w:pPr>
      <w:ind w:left="100" w:leftChars="2500"/>
    </w:pPr>
  </w:style>
  <w:style w:type="paragraph" w:styleId="22">
    <w:name w:val="Body Text Indent 2"/>
    <w:basedOn w:val="1"/>
    <w:link w:val="75"/>
    <w:qFormat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qFormat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qFormat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qFormat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qFormat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qFormat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qFormat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qFormat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qFormat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kern w:val="0"/>
      <w:sz w:val="24"/>
      <w:szCs w:val="20"/>
      <w:lang w:val="en-GB" w:eastAsia="zh-TW" w:bidi="ar-SA"/>
    </w:rPr>
  </w:style>
  <w:style w:type="paragraph" w:customStyle="1" w:styleId="67">
    <w:name w:val="H1"/>
    <w:qFormat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kern w:val="0"/>
      <w:sz w:val="24"/>
      <w:szCs w:val="20"/>
      <w:lang w:val="en-GB" w:eastAsia="zh-TW" w:bidi="ar-SA"/>
    </w:rPr>
  </w:style>
  <w:style w:type="paragraph" w:customStyle="1" w:styleId="68">
    <w:name w:val="P1"/>
    <w:qFormat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69">
    <w:name w:val="P3"/>
    <w:qFormat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70">
    <w:name w:val="P6"/>
    <w:qFormat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71">
    <w:name w:val="正文文本 字符"/>
    <w:basedOn w:val="40"/>
    <w:link w:val="16"/>
    <w:qFormat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qFormat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qFormat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qFormat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qFormat/>
    <w:uiPriority w:val="0"/>
    <w:rPr>
      <w:rFonts w:ascii="宋体" w:hAnsi="宋体"/>
      <w:szCs w:val="20"/>
    </w:rPr>
  </w:style>
  <w:style w:type="character" w:customStyle="1" w:styleId="77">
    <w:name w:val="页眉 字符1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qFormat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105">
    <w:name w:val="P4"/>
    <w:qFormat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106">
    <w:name w:val="批注主题 字符1"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qFormat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qFormat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qFormat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131">
    <w:name w:val="段落"/>
    <w:qFormat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qFormat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Char Char"/>
    <w:next w:val="1"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kern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qFormat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qFormat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qFormat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9">
    <w:name w:val="xl45"/>
    <w:basedOn w:val="1"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qFormat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1">
    <w:name w:val="xl82"/>
    <w:basedOn w:val="1"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qFormat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qFormat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0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2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qFormat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7">
    <w:name w:val="列项——"/>
    <w:next w:val="131"/>
    <w:qFormat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78">
    <w:name w:val="xl80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82">
    <w:name w:val="xl63"/>
    <w:basedOn w:val="1"/>
    <w:qFormat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5">
    <w:name w:val="xl71"/>
    <w:basedOn w:val="1"/>
    <w:qFormat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qFormat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qFormat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93">
    <w:name w:val="xl92"/>
    <w:basedOn w:val="1"/>
    <w:qFormat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95">
    <w:name w:val="xl9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qFormat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qFormat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qFormat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9">
    <w:name w:val="xl68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qFormat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224">
    <w:name w:val="xl4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qFormat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qFormat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9">
    <w:name w:val="引言 表"/>
    <w:next w:val="1"/>
    <w:qFormat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qFormat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qFormat/>
    <w:uiPriority w:val="0"/>
    <w:pPr>
      <w:outlineLvl w:val="2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36">
    <w:name w:val="二级条标题"/>
    <w:basedOn w:val="235"/>
    <w:next w:val="1"/>
    <w:qFormat/>
    <w:uiPriority w:val="0"/>
    <w:pPr>
      <w:outlineLvl w:val="3"/>
    </w:pPr>
  </w:style>
  <w:style w:type="paragraph" w:customStyle="1" w:styleId="237">
    <w:name w:val="三级条标题"/>
    <w:basedOn w:val="236"/>
    <w:next w:val="1"/>
    <w:qFormat/>
    <w:uiPriority w:val="0"/>
    <w:pPr>
      <w:outlineLvl w:val="4"/>
    </w:pPr>
  </w:style>
  <w:style w:type="paragraph" w:customStyle="1" w:styleId="238">
    <w:name w:val="四级条标题"/>
    <w:basedOn w:val="237"/>
    <w:next w:val="1"/>
    <w:qFormat/>
    <w:uiPriority w:val="0"/>
    <w:pPr>
      <w:outlineLvl w:val="5"/>
    </w:pPr>
  </w:style>
  <w:style w:type="paragraph" w:customStyle="1" w:styleId="239">
    <w:name w:val="五级条标题"/>
    <w:basedOn w:val="238"/>
    <w:next w:val="1"/>
    <w:qFormat/>
    <w:uiPriority w:val="0"/>
    <w:pPr>
      <w:outlineLvl w:val="6"/>
    </w:pPr>
  </w:style>
  <w:style w:type="paragraph" w:customStyle="1" w:styleId="240">
    <w:name w:val="图表脚注"/>
    <w:next w:val="1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1">
    <w:name w:val="Subtle Reference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qFormat/>
    <w:uiPriority w:val="0"/>
  </w:style>
  <w:style w:type="character" w:customStyle="1" w:styleId="243">
    <w:name w:val="apple-converted-space"/>
    <w:uiPriority w:val="0"/>
  </w:style>
  <w:style w:type="character" w:customStyle="1" w:styleId="244">
    <w:name w:val="页脚 字符1"/>
    <w:basedOn w:val="40"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qFormat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qFormat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qFormat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qFormat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qFormat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69">
    <w:name w:val="字元 字元 Char Char"/>
    <w:basedOn w:val="32"/>
    <w:next w:val="16"/>
    <w:uiPriority w:val="0"/>
  </w:style>
  <w:style w:type="table" w:customStyle="1" w:styleId="270">
    <w:name w:val="网格型1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qFormat/>
    <w:uiPriority w:val="5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qFormat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qFormat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qFormat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qFormat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qFormat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qFormat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qFormat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3BADCF-16E6-4669-9FB8-0D5BDD523A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613</Words>
  <Characters>3495</Characters>
  <Lines>29</Lines>
  <Paragraphs>8</Paragraphs>
  <TotalTime>267</TotalTime>
  <ScaleCrop>false</ScaleCrop>
  <LinksUpToDate>false</LinksUpToDate>
  <CharactersWithSpaces>4100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三两三</cp:lastModifiedBy>
  <cp:lastPrinted>2019-05-14T07:58:00Z</cp:lastPrinted>
  <dcterms:modified xsi:type="dcterms:W3CDTF">2022-01-03T09:44:25Z</dcterms:modified>
  <dc:title>加强工程安全管理的措施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18A53FA5CF41430583B47413F1D24AB6</vt:lpwstr>
  </property>
</Properties>
</file>