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90" w:lineRule="exact"/>
        <w:jc w:val="center"/>
        <w:textAlignment w:val="auto"/>
        <w:rPr>
          <w:rFonts w:hint="eastAsia" w:ascii="新宋体" w:hAnsi="新宋体" w:eastAsia="新宋体" w:cs="新宋体"/>
          <w:b/>
          <w:bCs/>
          <w:spacing w:val="-10"/>
          <w:kern w:val="0"/>
          <w:sz w:val="36"/>
          <w:szCs w:val="36"/>
          <w:lang w:val="en-US" w:eastAsia="zh-CN"/>
        </w:rPr>
      </w:pPr>
      <w:r>
        <w:rPr>
          <w:rFonts w:hint="eastAsia" w:ascii="新宋体" w:hAnsi="新宋体" w:eastAsia="新宋体" w:cs="新宋体"/>
          <w:b/>
          <w:bCs/>
          <w:spacing w:val="-10"/>
          <w:kern w:val="0"/>
          <w:sz w:val="36"/>
          <w:szCs w:val="36"/>
          <w:lang w:val="en-US" w:eastAsia="zh-CN"/>
        </w:rPr>
        <w:t>海晏路（洋吕铁路下穿段）稳定土混合料采购项目</w:t>
      </w:r>
    </w:p>
    <w:p>
      <w:pPr>
        <w:keepNext w:val="0"/>
        <w:keepLines w:val="0"/>
        <w:pageBreakBefore w:val="0"/>
        <w:widowControl/>
        <w:suppressLineNumbers w:val="0"/>
        <w:kinsoku/>
        <w:wordWrap/>
        <w:overflowPunct/>
        <w:topLinePunct w:val="0"/>
        <w:autoSpaceDE/>
        <w:autoSpaceDN/>
        <w:bidi w:val="0"/>
        <w:adjustRightInd/>
        <w:snapToGrid/>
        <w:spacing w:line="590" w:lineRule="exact"/>
        <w:jc w:val="center"/>
        <w:textAlignment w:val="auto"/>
        <w:rPr>
          <w:rFonts w:hint="eastAsia" w:ascii="新宋体" w:hAnsi="新宋体" w:eastAsia="新宋体" w:cs="新宋体"/>
          <w:b/>
          <w:bCs/>
          <w:spacing w:val="-10"/>
          <w:kern w:val="0"/>
          <w:sz w:val="36"/>
          <w:szCs w:val="36"/>
          <w:lang w:val="en-US" w:eastAsia="zh-CN"/>
        </w:rPr>
      </w:pPr>
      <w:r>
        <w:rPr>
          <w:rFonts w:hint="eastAsia" w:ascii="新宋体" w:hAnsi="新宋体" w:eastAsia="新宋体" w:cs="新宋体"/>
          <w:b/>
          <w:bCs/>
          <w:spacing w:val="-10"/>
          <w:kern w:val="0"/>
          <w:sz w:val="36"/>
          <w:szCs w:val="36"/>
          <w:lang w:eastAsia="zh-CN"/>
        </w:rPr>
        <w:t>询价</w:t>
      </w:r>
      <w:r>
        <w:rPr>
          <w:rFonts w:hint="eastAsia" w:ascii="新宋体" w:hAnsi="新宋体" w:eastAsia="新宋体" w:cs="新宋体"/>
          <w:b/>
          <w:bCs/>
          <w:spacing w:val="-10"/>
          <w:kern w:val="0"/>
          <w:sz w:val="36"/>
          <w:szCs w:val="36"/>
          <w:lang w:val="en-US" w:eastAsia="zh-CN"/>
        </w:rPr>
        <w:t>函</w:t>
      </w:r>
    </w:p>
    <w:p>
      <w:pPr>
        <w:pStyle w:val="10"/>
        <w:rPr>
          <w:rFonts w:hint="default"/>
          <w:lang w:val="en-US" w:eastAsia="zh-CN"/>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exact"/>
        <w:ind w:firstLine="422" w:firstLineChars="200"/>
        <w:jc w:val="both"/>
        <w:textAlignment w:val="auto"/>
        <w:rPr>
          <w:rFonts w:hint="eastAsia" w:ascii="Arial"/>
          <w:sz w:val="21"/>
          <w:lang w:val="en-US" w:eastAsia="zh-CN"/>
        </w:rPr>
      </w:pPr>
      <w:r>
        <w:rPr>
          <w:rFonts w:hint="eastAsia" w:ascii="新宋体" w:hAnsi="新宋体" w:eastAsia="新宋体" w:cs="新宋体"/>
          <w:b/>
          <w:kern w:val="0"/>
          <w:sz w:val="21"/>
          <w:szCs w:val="21"/>
        </w:rPr>
        <w:t>项目名称：</w:t>
      </w:r>
      <w:r>
        <w:rPr>
          <w:rFonts w:hint="eastAsia" w:ascii="Arial"/>
          <w:sz w:val="21"/>
          <w:lang w:val="en-US" w:eastAsia="zh-CN"/>
        </w:rPr>
        <w:t>海晏路（洋吕铁路下穿段）项目稳定土混合料采购项目</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exact"/>
        <w:ind w:firstLine="422" w:firstLineChars="200"/>
        <w:jc w:val="both"/>
        <w:textAlignment w:val="auto"/>
        <w:rPr>
          <w:rFonts w:hint="eastAsia" w:ascii="新宋体" w:hAnsi="新宋体" w:eastAsia="新宋体" w:cs="新宋体"/>
          <w:b/>
          <w:kern w:val="0"/>
          <w:sz w:val="21"/>
          <w:szCs w:val="21"/>
          <w:highlight w:val="none"/>
        </w:rPr>
      </w:pPr>
      <w:r>
        <w:rPr>
          <w:rFonts w:hint="eastAsia" w:ascii="新宋体" w:hAnsi="新宋体" w:eastAsia="新宋体" w:cs="新宋体"/>
          <w:b/>
          <w:kern w:val="0"/>
          <w:sz w:val="21"/>
          <w:szCs w:val="21"/>
          <w:lang w:val="en-US" w:eastAsia="zh-CN"/>
        </w:rPr>
        <w:t>项目概括</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20" w:firstLineChars="200"/>
        <w:jc w:val="both"/>
        <w:textAlignment w:val="auto"/>
        <w:rPr>
          <w:rFonts w:hint="eastAsia" w:ascii="Arial"/>
          <w:sz w:val="21"/>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sz w:val="21"/>
          <w:szCs w:val="21"/>
          <w:highlight w:val="none"/>
        </w:rPr>
        <w:t>1</w:t>
      </w:r>
      <w:r>
        <w:rPr>
          <w:rFonts w:hint="eastAsia" w:ascii="新宋体" w:hAnsi="新宋体" w:eastAsia="新宋体" w:cs="新宋体"/>
          <w:b w:val="0"/>
          <w:kern w:val="2"/>
          <w:sz w:val="21"/>
          <w:szCs w:val="21"/>
          <w:highlight w:val="none"/>
          <w:lang w:val="en-US" w:eastAsia="zh-CN" w:bidi="ar-SA"/>
        </w:rPr>
        <w:t>）</w:t>
      </w:r>
      <w:r>
        <w:rPr>
          <w:rFonts w:hint="eastAsia" w:ascii="Arial"/>
          <w:sz w:val="21"/>
          <w:lang w:val="en-US" w:eastAsia="zh-CN"/>
        </w:rPr>
        <w:t>海晏路（洋吕铁路下穿段）项目稳定土混合料采购项目</w:t>
      </w:r>
      <w:r>
        <w:rPr>
          <w:rFonts w:hint="eastAsia" w:ascii="新宋体" w:hAnsi="新宋体" w:eastAsia="新宋体" w:cs="新宋体"/>
          <w:b w:val="0"/>
          <w:bCs/>
          <w:kern w:val="0"/>
          <w:sz w:val="21"/>
          <w:szCs w:val="21"/>
          <w:lang w:eastAsia="zh-CN"/>
        </w:rPr>
        <w:t>，工期约</w:t>
      </w:r>
      <w:r>
        <w:rPr>
          <w:rFonts w:hint="eastAsia" w:ascii="新宋体" w:hAnsi="新宋体" w:eastAsia="新宋体" w:cs="新宋体"/>
          <w:b w:val="0"/>
          <w:bCs/>
          <w:kern w:val="0"/>
          <w:sz w:val="21"/>
          <w:szCs w:val="21"/>
          <w:lang w:val="en-US" w:eastAsia="zh-CN"/>
        </w:rPr>
        <w:t>3</w:t>
      </w:r>
      <w:r>
        <w:rPr>
          <w:rFonts w:hint="eastAsia" w:ascii="新宋体" w:hAnsi="新宋体" w:eastAsia="新宋体" w:cs="新宋体"/>
          <w:b w:val="0"/>
          <w:bCs/>
          <w:color w:val="auto"/>
          <w:kern w:val="0"/>
          <w:sz w:val="21"/>
          <w:szCs w:val="21"/>
          <w:lang w:val="en-US" w:eastAsia="zh-CN"/>
        </w:rPr>
        <w:t>日历</w:t>
      </w:r>
      <w:r>
        <w:rPr>
          <w:rFonts w:hint="eastAsia" w:ascii="新宋体" w:hAnsi="新宋体" w:eastAsia="新宋体" w:cs="新宋体"/>
          <w:b w:val="0"/>
          <w:bCs/>
          <w:kern w:val="0"/>
          <w:sz w:val="21"/>
          <w:szCs w:val="21"/>
          <w:lang w:val="en-US" w:eastAsia="zh-CN"/>
        </w:rPr>
        <w:t>天，</w:t>
      </w:r>
      <w:r>
        <w:rPr>
          <w:rFonts w:hint="eastAsia" w:ascii="新宋体" w:hAnsi="新宋体" w:eastAsia="新宋体" w:cs="新宋体"/>
          <w:b w:val="0"/>
          <w:kern w:val="2"/>
          <w:sz w:val="21"/>
          <w:szCs w:val="21"/>
          <w:highlight w:val="none"/>
          <w:lang w:val="en-US" w:eastAsia="zh-CN" w:bidi="ar-SA"/>
        </w:rPr>
        <w:t>为满足工程建设需要，需采购共1项材</w:t>
      </w:r>
      <w:r>
        <w:rPr>
          <w:rFonts w:hint="eastAsia" w:ascii="Arial"/>
          <w:sz w:val="21"/>
          <w:lang w:val="en-US" w:eastAsia="zh-CN"/>
        </w:rPr>
        <w:t>料稳定土混合料-水稳；</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20" w:firstLineChars="200"/>
        <w:jc w:val="left"/>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）最</w:t>
      </w:r>
      <w:r>
        <w:rPr>
          <w:rFonts w:hint="eastAsia" w:ascii="新宋体" w:hAnsi="新宋体" w:eastAsia="新宋体" w:cs="新宋体"/>
          <w:sz w:val="21"/>
          <w:szCs w:val="21"/>
          <w:highlight w:val="none"/>
        </w:rPr>
        <w:t>高限价：</w:t>
      </w:r>
      <w:r>
        <w:rPr>
          <w:rFonts w:hint="eastAsia" w:ascii="宋体" w:hAnsi="宋体" w:cs="宋体"/>
          <w:spacing w:val="14"/>
          <w:sz w:val="19"/>
          <w:szCs w:val="19"/>
          <w:lang w:val="en-US" w:eastAsia="zh-CN"/>
        </w:rPr>
        <w:t>9.58万</w:t>
      </w:r>
      <w:r>
        <w:rPr>
          <w:rFonts w:hint="eastAsia" w:ascii="新宋体" w:hAnsi="新宋体" w:eastAsia="新宋体" w:cs="新宋体"/>
          <w:sz w:val="21"/>
          <w:szCs w:val="21"/>
          <w:highlight w:val="none"/>
          <w:lang w:val="en-US" w:eastAsia="zh-CN"/>
        </w:rPr>
        <w:t>（数量据实结算）；</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（3）技术要求：</w:t>
      </w:r>
    </w:p>
    <w:p>
      <w:pPr>
        <w:keepNext w:val="0"/>
        <w:keepLines w:val="0"/>
        <w:pageBreakBefore w:val="0"/>
        <w:widowControl/>
        <w:kinsoku/>
        <w:wordWrap/>
        <w:overflowPunct/>
        <w:topLinePunct w:val="0"/>
        <w:autoSpaceDE/>
        <w:autoSpaceDN/>
        <w:bidi w:val="0"/>
        <w:adjustRightInd/>
        <w:snapToGrid/>
        <w:spacing w:line="400" w:lineRule="exact"/>
        <w:ind w:firstLine="654" w:firstLineChars="300"/>
        <w:textAlignment w:val="auto"/>
        <w:rPr>
          <w:rFonts w:hint="default" w:ascii="新宋体" w:hAnsi="新宋体" w:eastAsia="新宋体" w:cs="新宋体"/>
          <w:sz w:val="21"/>
          <w:szCs w:val="21"/>
          <w:highlight w:val="none"/>
          <w:lang w:val="en-US" w:eastAsia="zh-CN"/>
        </w:rPr>
      </w:pPr>
      <w:r>
        <w:rPr>
          <w:rFonts w:hint="eastAsia" w:ascii="宋体" w:hAnsi="宋体" w:cs="宋体"/>
          <w:spacing w:val="14"/>
          <w:sz w:val="19"/>
          <w:szCs w:val="19"/>
          <w:lang w:val="en-US" w:eastAsia="zh-CN"/>
        </w:rPr>
        <w:t>1、水泥含量:4.5%水泥稳定碎</w:t>
      </w:r>
      <w:bookmarkStart w:id="0" w:name="_GoBack"/>
      <w:bookmarkEnd w:id="0"/>
      <w:r>
        <w:rPr>
          <w:rFonts w:hint="eastAsia" w:ascii="宋体" w:hAnsi="宋体" w:cs="宋体"/>
          <w:spacing w:val="14"/>
          <w:sz w:val="19"/>
          <w:szCs w:val="19"/>
          <w:lang w:val="en-US" w:eastAsia="zh-CN"/>
        </w:rPr>
        <w:t>石，石料规格:详见设计要求，厚度:36cm，养生符合设计要求，具体做法以施工图为准；</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630" w:firstLineChars="300"/>
        <w:textAlignment w:val="auto"/>
        <w:rPr>
          <w:rFonts w:hint="eastAsia" w:ascii="新宋体" w:hAnsi="新宋体" w:eastAsia="新宋体" w:cs="新宋体"/>
          <w:sz w:val="21"/>
          <w:szCs w:val="21"/>
          <w:highlight w:val="yellow"/>
          <w:lang w:val="en-US" w:eastAsia="zh-CN"/>
        </w:rPr>
      </w:pPr>
      <w:r>
        <w:rPr>
          <w:rFonts w:hint="eastAsia" w:ascii="新宋体" w:hAnsi="新宋体" w:eastAsia="新宋体" w:cs="新宋体"/>
          <w:b w:val="0"/>
          <w:kern w:val="2"/>
          <w:sz w:val="21"/>
          <w:szCs w:val="21"/>
          <w:highlight w:val="none"/>
          <w:lang w:val="en-US" w:eastAsia="zh-CN" w:bidi="ar-SA"/>
        </w:rPr>
        <w:t>2、供货期：</w:t>
      </w:r>
      <w:r>
        <w:rPr>
          <w:rFonts w:hint="eastAsia" w:ascii="新宋体" w:hAnsi="新宋体" w:eastAsia="新宋体" w:cs="新宋体"/>
          <w:kern w:val="0"/>
          <w:sz w:val="21"/>
          <w:szCs w:val="21"/>
          <w:highlight w:val="none"/>
          <w:lang w:val="en-US" w:eastAsia="zh-CN"/>
        </w:rPr>
        <w:t>2023年12月20日前（具体以现场通知为准）；</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630" w:firstLineChars="300"/>
        <w:textAlignment w:val="auto"/>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pPr>
      <w:r>
        <w:rPr>
          <w:rFonts w:hint="eastAsia" w:ascii="新宋体" w:hAnsi="新宋体" w:eastAsia="新宋体" w:cs="新宋体"/>
          <w:b w:val="0"/>
          <w:kern w:val="2"/>
          <w:sz w:val="21"/>
          <w:szCs w:val="21"/>
          <w:highlight w:val="none"/>
          <w:lang w:val="en-US" w:eastAsia="zh-CN" w:bidi="ar-SA"/>
        </w:rPr>
        <w:t>3、收货地点：</w:t>
      </w: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海晏路工程位于通州湾示范区现代纺织产业园区</w:t>
      </w:r>
      <w:r>
        <w:rPr>
          <w:rFonts w:hint="eastAsia" w:ascii="新宋体" w:hAnsi="新宋体" w:eastAsia="新宋体" w:cs="新宋体"/>
          <w:color w:val="000000" w:themeColor="text1"/>
          <w:kern w:val="0"/>
          <w:sz w:val="21"/>
          <w:szCs w:val="21"/>
          <w:highlight w:val="none"/>
          <w:lang w:val="en-US" w:eastAsia="zh-CN"/>
          <w14:textFill>
            <w14:solidFill>
              <w14:schemeClr w14:val="tx1"/>
            </w14:solidFill>
          </w14:textFill>
        </w:rPr>
        <w:t>（具体以通知为准）</w:t>
      </w: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422" w:firstLineChars="200"/>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rPr>
        <w:t>3、资格要求：</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rPr>
        <w:t>（1）供应商必须具有有效的营业执照或事业单位法人证书</w:t>
      </w:r>
      <w:r>
        <w:rPr>
          <w:rFonts w:hint="eastAsia" w:ascii="新宋体" w:hAnsi="新宋体" w:eastAsia="新宋体" w:cs="新宋体"/>
          <w:sz w:val="21"/>
          <w:szCs w:val="21"/>
          <w:highlight w:val="none"/>
          <w:lang w:eastAsia="zh-CN"/>
        </w:rPr>
        <w:t>，</w:t>
      </w:r>
      <w:r>
        <w:rPr>
          <w:rFonts w:hint="eastAsia" w:ascii="新宋体" w:hAnsi="新宋体" w:eastAsia="新宋体" w:cs="新宋体"/>
          <w:color w:val="000000"/>
          <w:sz w:val="21"/>
          <w:szCs w:val="21"/>
          <w:highlight w:val="none"/>
          <w:lang w:val="en-US" w:eastAsia="zh-CN"/>
        </w:rPr>
        <w:t>营业执照经营范围含与本次供货相关的内容</w:t>
      </w:r>
      <w:r>
        <w:rPr>
          <w:rFonts w:hint="eastAsia" w:ascii="新宋体" w:hAnsi="新宋体" w:eastAsia="新宋体" w:cs="新宋体"/>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rPr>
        <w:t>（</w:t>
      </w:r>
      <w:r>
        <w:rPr>
          <w:rFonts w:hint="eastAsia" w:ascii="新宋体" w:hAnsi="新宋体" w:eastAsia="新宋体" w:cs="新宋体"/>
          <w:sz w:val="21"/>
          <w:szCs w:val="21"/>
          <w:highlight w:val="none"/>
          <w:lang w:val="en-US" w:eastAsia="zh-CN"/>
        </w:rPr>
        <w:t>2</w:t>
      </w:r>
      <w:r>
        <w:rPr>
          <w:rFonts w:hint="eastAsia" w:ascii="新宋体" w:hAnsi="新宋体" w:eastAsia="新宋体" w:cs="新宋体"/>
          <w:sz w:val="21"/>
          <w:szCs w:val="21"/>
          <w:highlight w:val="none"/>
        </w:rPr>
        <w:t>）供应商本项目不接受联合体形式投标。</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422" w:firstLineChars="200"/>
        <w:textAlignment w:val="auto"/>
        <w:rPr>
          <w:rFonts w:hint="eastAsia" w:ascii="新宋体" w:hAnsi="新宋体" w:eastAsia="新宋体" w:cs="新宋体"/>
          <w:sz w:val="21"/>
          <w:szCs w:val="21"/>
          <w:highlight w:val="none"/>
        </w:rPr>
      </w:pPr>
      <w:r>
        <w:rPr>
          <w:rFonts w:hint="eastAsia" w:ascii="新宋体" w:hAnsi="新宋体" w:eastAsia="新宋体" w:cs="新宋体"/>
          <w:b/>
          <w:kern w:val="0"/>
          <w:sz w:val="21"/>
          <w:szCs w:val="21"/>
        </w:rPr>
        <w:t>4、投标文件的递交</w:t>
      </w:r>
      <w:r>
        <w:rPr>
          <w:rFonts w:hint="eastAsia" w:ascii="新宋体" w:hAnsi="新宋体" w:eastAsia="新宋体" w:cs="新宋体"/>
          <w:b/>
          <w:kern w:val="0"/>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rPr>
        <w:t>（1）投标文件</w:t>
      </w:r>
      <w:r>
        <w:rPr>
          <w:rFonts w:hint="eastAsia" w:ascii="新宋体" w:hAnsi="新宋体" w:eastAsia="新宋体" w:cs="新宋体"/>
          <w:sz w:val="21"/>
          <w:szCs w:val="21"/>
          <w:highlight w:val="none"/>
          <w:lang w:eastAsia="zh-CN"/>
        </w:rPr>
        <w:t>密封</w:t>
      </w:r>
      <w:r>
        <w:rPr>
          <w:rFonts w:hint="eastAsia" w:ascii="新宋体" w:hAnsi="新宋体" w:eastAsia="新宋体" w:cs="新宋体"/>
          <w:sz w:val="21"/>
          <w:szCs w:val="21"/>
          <w:highlight w:val="none"/>
        </w:rPr>
        <w:t>递交的截止时间（投标截止时间，下同）为202</w:t>
      </w:r>
      <w:r>
        <w:rPr>
          <w:rFonts w:hint="eastAsia" w:ascii="新宋体" w:hAnsi="新宋体" w:eastAsia="新宋体" w:cs="新宋体"/>
          <w:sz w:val="21"/>
          <w:szCs w:val="21"/>
          <w:highlight w:val="none"/>
          <w:lang w:val="en-US" w:eastAsia="zh-CN"/>
        </w:rPr>
        <w:t>3</w:t>
      </w:r>
      <w:r>
        <w:rPr>
          <w:rFonts w:hint="eastAsia" w:ascii="新宋体" w:hAnsi="新宋体" w:eastAsia="新宋体" w:cs="新宋体"/>
          <w:sz w:val="21"/>
          <w:szCs w:val="21"/>
          <w:highlight w:val="none"/>
        </w:rPr>
        <w:t>年</w:t>
      </w:r>
      <w:r>
        <w:rPr>
          <w:rFonts w:hint="eastAsia" w:ascii="新宋体" w:hAnsi="新宋体" w:eastAsia="新宋体" w:cs="新宋体"/>
          <w:sz w:val="21"/>
          <w:szCs w:val="21"/>
          <w:highlight w:val="none"/>
          <w:lang w:val="en-US" w:eastAsia="zh-CN"/>
        </w:rPr>
        <w:t xml:space="preserve"> 11</w:t>
      </w:r>
      <w:r>
        <w:rPr>
          <w:rFonts w:hint="eastAsia" w:ascii="新宋体" w:hAnsi="新宋体" w:eastAsia="新宋体" w:cs="新宋体"/>
          <w:sz w:val="21"/>
          <w:szCs w:val="21"/>
          <w:highlight w:val="none"/>
        </w:rPr>
        <w:t>月</w:t>
      </w:r>
      <w:r>
        <w:rPr>
          <w:rFonts w:hint="eastAsia" w:ascii="新宋体" w:hAnsi="新宋体" w:eastAsia="新宋体" w:cs="新宋体"/>
          <w:sz w:val="21"/>
          <w:szCs w:val="21"/>
          <w:highlight w:val="none"/>
          <w:lang w:val="en-US" w:eastAsia="zh-CN"/>
        </w:rPr>
        <w:t>24</w:t>
      </w:r>
      <w:r>
        <w:rPr>
          <w:rFonts w:hint="eastAsia" w:ascii="新宋体" w:hAnsi="新宋体" w:eastAsia="新宋体" w:cs="新宋体"/>
          <w:sz w:val="21"/>
          <w:szCs w:val="21"/>
          <w:highlight w:val="none"/>
        </w:rPr>
        <w:t>日</w:t>
      </w:r>
      <w:r>
        <w:rPr>
          <w:rFonts w:hint="eastAsia" w:ascii="新宋体" w:hAnsi="新宋体" w:eastAsia="新宋体" w:cs="新宋体"/>
          <w:sz w:val="21"/>
          <w:szCs w:val="21"/>
          <w:highlight w:val="none"/>
          <w:lang w:val="en-US" w:eastAsia="zh-CN"/>
        </w:rPr>
        <w:t>上午09:30前，</w:t>
      </w:r>
      <w:r>
        <w:rPr>
          <w:rFonts w:hint="eastAsia" w:ascii="新宋体" w:hAnsi="新宋体" w:eastAsia="新宋体" w:cs="新宋体"/>
          <w:sz w:val="21"/>
          <w:szCs w:val="21"/>
          <w:highlight w:val="none"/>
        </w:rPr>
        <w:t>投标文件递交地点为通州湾示范区政务中心</w:t>
      </w:r>
      <w:r>
        <w:rPr>
          <w:rFonts w:hint="eastAsia" w:ascii="新宋体" w:hAnsi="新宋体" w:eastAsia="新宋体" w:cs="新宋体"/>
          <w:sz w:val="21"/>
          <w:szCs w:val="21"/>
          <w:highlight w:val="none"/>
          <w:lang w:eastAsia="zh-CN"/>
        </w:rPr>
        <w:t>向南</w:t>
      </w:r>
      <w:r>
        <w:rPr>
          <w:rFonts w:hint="eastAsia" w:ascii="新宋体" w:hAnsi="新宋体" w:eastAsia="新宋体" w:cs="新宋体"/>
          <w:sz w:val="21"/>
          <w:szCs w:val="21"/>
          <w:highlight w:val="none"/>
          <w:lang w:val="en-US" w:eastAsia="zh-CN"/>
        </w:rPr>
        <w:t>300米，通州湾自来水公司三楼会议室</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2</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rPr>
        <w:t>逾期送达的或者未送达指定地点的投标文件，招标人不予受理。</w:t>
      </w:r>
    </w:p>
    <w:p>
      <w:pPr>
        <w:keepNext w:val="0"/>
        <w:keepLines w:val="0"/>
        <w:pageBreakBefore w:val="0"/>
        <w:widowControl/>
        <w:kinsoku/>
        <w:wordWrap/>
        <w:overflowPunct/>
        <w:topLinePunct w:val="0"/>
        <w:autoSpaceDE/>
        <w:autoSpaceDN/>
        <w:bidi w:val="0"/>
        <w:adjustRightInd/>
        <w:snapToGrid/>
        <w:spacing w:line="400" w:lineRule="exact"/>
        <w:ind w:firstLine="632" w:firstLineChars="3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rPr>
        <w:t>5、评标办法：</w:t>
      </w:r>
      <w:r>
        <w:rPr>
          <w:rFonts w:hint="eastAsia" w:ascii="新宋体" w:hAnsi="新宋体" w:eastAsia="新宋体" w:cs="新宋体"/>
          <w:sz w:val="21"/>
          <w:szCs w:val="21"/>
          <w:highlight w:val="none"/>
          <w:lang w:eastAsia="zh-CN"/>
        </w:rPr>
        <w:t>一次性报价</w:t>
      </w:r>
      <w:r>
        <w:rPr>
          <w:rFonts w:hint="eastAsia" w:ascii="新宋体" w:hAnsi="新宋体" w:eastAsia="新宋体" w:cs="新宋体"/>
          <w:sz w:val="21"/>
          <w:szCs w:val="21"/>
          <w:highlight w:val="none"/>
        </w:rPr>
        <w:t>最低标价法</w:t>
      </w:r>
      <w:r>
        <w:rPr>
          <w:rFonts w:hint="eastAsia" w:ascii="新宋体" w:hAnsi="新宋体" w:eastAsia="新宋体" w:cs="新宋体"/>
          <w:sz w:val="21"/>
          <w:szCs w:val="21"/>
          <w:highlight w:val="none"/>
          <w:lang w:eastAsia="zh-CN"/>
        </w:rPr>
        <w:t>。到投标截止时间止，若投标人不足三家或经评审后有效投标人不足三家时，招标人有权采用竞争性谈判确定中标单位。</w:t>
      </w:r>
    </w:p>
    <w:p>
      <w:pPr>
        <w:keepNext w:val="0"/>
        <w:keepLines w:val="0"/>
        <w:pageBreakBefore w:val="0"/>
        <w:widowControl/>
        <w:kinsoku/>
        <w:wordWrap/>
        <w:overflowPunct/>
        <w:topLinePunct w:val="0"/>
        <w:autoSpaceDE/>
        <w:autoSpaceDN/>
        <w:bidi w:val="0"/>
        <w:adjustRightInd/>
        <w:snapToGrid/>
        <w:spacing w:line="400" w:lineRule="exact"/>
        <w:ind w:right="23" w:firstLine="632" w:firstLineChars="300"/>
        <w:textAlignment w:val="auto"/>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6、</w:t>
      </w:r>
      <w:r>
        <w:rPr>
          <w:rFonts w:hint="eastAsia" w:ascii="新宋体" w:hAnsi="新宋体" w:eastAsia="新宋体" w:cs="新宋体"/>
          <w:b/>
          <w:kern w:val="0"/>
          <w:sz w:val="21"/>
          <w:szCs w:val="21"/>
        </w:rPr>
        <w:t>评委费由中标单位支付，评委费按实支付。</w:t>
      </w:r>
    </w:p>
    <w:p>
      <w:pPr>
        <w:keepNext w:val="0"/>
        <w:keepLines w:val="0"/>
        <w:pageBreakBefore w:val="0"/>
        <w:widowControl/>
        <w:kinsoku/>
        <w:wordWrap/>
        <w:overflowPunct/>
        <w:topLinePunct w:val="0"/>
        <w:autoSpaceDE/>
        <w:autoSpaceDN/>
        <w:bidi w:val="0"/>
        <w:adjustRightInd/>
        <w:snapToGrid/>
        <w:spacing w:line="400" w:lineRule="exact"/>
        <w:ind w:firstLine="632" w:firstLineChars="300"/>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b/>
          <w:bCs/>
          <w:sz w:val="21"/>
          <w:szCs w:val="21"/>
          <w:highlight w:val="none"/>
          <w:lang w:val="en-US" w:eastAsia="zh-CN"/>
        </w:rPr>
        <w:t>7、质保、售后服务要求</w:t>
      </w:r>
      <w:r>
        <w:rPr>
          <w:rFonts w:hint="eastAsia" w:ascii="新宋体" w:hAnsi="新宋体" w:eastAsia="新宋体" w:cs="新宋体"/>
          <w:sz w:val="21"/>
          <w:szCs w:val="21"/>
          <w:highlight w:val="none"/>
          <w:lang w:val="en-US" w:eastAsia="zh-CN"/>
        </w:rPr>
        <w:t>：在材料送至现场后，采购单位将随机取样自检</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或送检（检测费用由中标单位出），</w:t>
      </w:r>
      <w:r>
        <w:rPr>
          <w:rFonts w:hint="eastAsia" w:ascii="新宋体" w:hAnsi="新宋体" w:eastAsia="新宋体" w:cs="新宋体"/>
          <w:sz w:val="21"/>
          <w:szCs w:val="21"/>
          <w:highlight w:val="none"/>
          <w:lang w:val="en-US" w:eastAsia="zh-CN"/>
        </w:rPr>
        <w:t>若检测不合格，由此产生的损失（检测费、误工费、返工费等所有费用）均由中标单位承担，供应商将该批货物全部退场并重新发货。若出现两次检测不合格，采购单位将终止合同，供应商承担由此产生的所有损失。</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632" w:firstLineChars="3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lang w:val="en-US" w:eastAsia="zh-CN"/>
        </w:rPr>
        <w:t>8、</w:t>
      </w:r>
      <w:r>
        <w:rPr>
          <w:rFonts w:hint="eastAsia" w:ascii="新宋体" w:hAnsi="新宋体" w:eastAsia="新宋体" w:cs="新宋体"/>
          <w:b/>
          <w:bCs/>
          <w:sz w:val="21"/>
          <w:szCs w:val="21"/>
          <w:highlight w:val="none"/>
          <w:lang w:eastAsia="zh-CN"/>
        </w:rPr>
        <w:t>投标保证金</w:t>
      </w:r>
      <w:r>
        <w:rPr>
          <w:rFonts w:hint="eastAsia" w:ascii="新宋体" w:hAnsi="新宋体" w:eastAsia="新宋体" w:cs="新宋体"/>
          <w:sz w:val="21"/>
          <w:szCs w:val="21"/>
          <w:highlight w:val="none"/>
          <w:lang w:eastAsia="zh-CN"/>
        </w:rPr>
        <w:t>：本次项目投标保证</w:t>
      </w:r>
      <w:r>
        <w:rPr>
          <w:rFonts w:hint="eastAsia" w:ascii="新宋体" w:hAnsi="新宋体" w:eastAsia="新宋体" w:cs="新宋体"/>
          <w:color w:val="auto"/>
          <w:sz w:val="21"/>
          <w:szCs w:val="21"/>
          <w:highlight w:val="none"/>
          <w:lang w:eastAsia="zh-CN"/>
        </w:rPr>
        <w:t>金为（</w:t>
      </w:r>
      <w:r>
        <w:rPr>
          <w:rFonts w:hint="eastAsia" w:ascii="新宋体" w:hAnsi="新宋体" w:eastAsia="新宋体" w:cs="新宋体"/>
          <w:color w:val="auto"/>
          <w:sz w:val="21"/>
          <w:szCs w:val="21"/>
          <w:highlight w:val="none"/>
          <w:lang w:val="en-US" w:eastAsia="zh-CN"/>
        </w:rPr>
        <w:t>2000</w:t>
      </w:r>
      <w:r>
        <w:rPr>
          <w:rFonts w:hint="eastAsia" w:ascii="新宋体" w:hAnsi="新宋体" w:eastAsia="新宋体" w:cs="新宋体"/>
          <w:color w:val="auto"/>
          <w:sz w:val="21"/>
          <w:szCs w:val="21"/>
          <w:highlight w:val="none"/>
          <w:lang w:eastAsia="zh-CN"/>
        </w:rPr>
        <w:t>元）</w:t>
      </w:r>
      <w:r>
        <w:rPr>
          <w:rFonts w:hint="eastAsia" w:ascii="新宋体" w:hAnsi="新宋体" w:eastAsia="新宋体" w:cs="新宋体"/>
          <w:color w:val="auto"/>
          <w:sz w:val="21"/>
          <w:szCs w:val="21"/>
          <w:highlight w:val="none"/>
          <w:lang w:val="en-US" w:eastAsia="zh-CN"/>
        </w:rPr>
        <w:t>贰仟元</w:t>
      </w:r>
      <w:r>
        <w:rPr>
          <w:rFonts w:hint="eastAsia" w:ascii="新宋体" w:hAnsi="新宋体" w:eastAsia="新宋体" w:cs="新宋体"/>
          <w:sz w:val="21"/>
          <w:szCs w:val="21"/>
          <w:highlight w:val="none"/>
          <w:lang w:eastAsia="zh-CN"/>
        </w:rPr>
        <w:t>整，</w:t>
      </w:r>
      <w:r>
        <w:rPr>
          <w:rFonts w:hint="eastAsia" w:ascii="宋体" w:hAnsi="宋体" w:eastAsia="宋体" w:cs="宋体"/>
          <w:color w:val="000000"/>
          <w:sz w:val="24"/>
          <w:szCs w:val="24"/>
        </w:rPr>
        <w:t>缴纳方式银行转账</w:t>
      </w:r>
      <w:r>
        <w:rPr>
          <w:rFonts w:hint="eastAsia" w:ascii="宋体" w:hAnsi="宋体" w:eastAsia="宋体" w:cs="宋体"/>
          <w:color w:val="000000"/>
          <w:sz w:val="24"/>
          <w:szCs w:val="24"/>
          <w:lang w:val="en-US" w:eastAsia="zh-CN"/>
        </w:rPr>
        <w:t>或</w:t>
      </w:r>
      <w:r>
        <w:rPr>
          <w:rFonts w:hint="eastAsia" w:ascii="新宋体" w:hAnsi="新宋体" w:eastAsia="新宋体" w:cs="新宋体"/>
          <w:sz w:val="21"/>
          <w:szCs w:val="21"/>
          <w:highlight w:val="none"/>
          <w:lang w:eastAsia="zh-CN"/>
        </w:rPr>
        <w:t>现金形式。</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保证金账户信息如下：</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户名：南通海润水务有限公司</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开户行及账号：中国银行南通分行483260649067</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投标保证金不得密封在投标文件内，未按上述要求提交投标保证金的投标人，采购人有权拒绝其投标文件。</w:t>
      </w:r>
    </w:p>
    <w:p>
      <w:pPr>
        <w:keepNext w:val="0"/>
        <w:keepLines w:val="0"/>
        <w:pageBreakBefore w:val="0"/>
        <w:kinsoku/>
        <w:wordWrap/>
        <w:overflowPunct/>
        <w:topLinePunct w:val="0"/>
        <w:autoSpaceDE/>
        <w:autoSpaceDN/>
        <w:bidi w:val="0"/>
        <w:adjustRightInd/>
        <w:snapToGrid/>
        <w:spacing w:line="400" w:lineRule="exact"/>
        <w:ind w:firstLine="422" w:firstLineChars="200"/>
        <w:textAlignment w:val="auto"/>
        <w:rPr>
          <w:rFonts w:hint="eastAsia" w:ascii="新宋体" w:hAnsi="新宋体" w:eastAsia="新宋体" w:cs="新宋体"/>
          <w:b/>
          <w:kern w:val="0"/>
          <w:sz w:val="21"/>
          <w:szCs w:val="21"/>
          <w:highlight w:val="none"/>
          <w:lang w:val="en-US" w:eastAsia="zh-CN"/>
        </w:rPr>
      </w:pPr>
      <w:r>
        <w:rPr>
          <w:rFonts w:hint="eastAsia" w:ascii="新宋体" w:hAnsi="新宋体" w:eastAsia="新宋体" w:cs="新宋体"/>
          <w:b/>
          <w:kern w:val="0"/>
          <w:sz w:val="21"/>
          <w:szCs w:val="21"/>
          <w:highlight w:val="none"/>
          <w:lang w:val="en-US" w:eastAsia="zh-CN"/>
        </w:rPr>
        <w:t>9、确定方式：</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sz w:val="21"/>
          <w:szCs w:val="21"/>
          <w:highlight w:val="none"/>
        </w:rPr>
        <w:t>1</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b/>
          <w:bCs/>
          <w:sz w:val="21"/>
          <w:szCs w:val="21"/>
          <w:highlight w:val="none"/>
          <w:lang w:val="en-US" w:eastAsia="zh-CN"/>
        </w:rPr>
        <w:t>符合本项目资格要求的投标人须于2023年11月23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sz w:val="21"/>
          <w:szCs w:val="21"/>
          <w:highlight w:val="none"/>
          <w:lang w:val="en-US" w:eastAsia="zh-CN"/>
        </w:rPr>
        <w:t>询价文件：企业营业执照复印件、授权委托人身份证明、授权委托书（如有）、投标函等；</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yellow"/>
          <w:lang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3</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kern w:val="2"/>
          <w:sz w:val="21"/>
          <w:szCs w:val="21"/>
          <w:highlight w:val="none"/>
          <w:lang w:val="en-US" w:eastAsia="zh-CN" w:bidi="ar-SA"/>
        </w:rPr>
        <w:t>付款方式：</w:t>
      </w:r>
      <w:r>
        <w:rPr>
          <w:rFonts w:hint="eastAsia" w:ascii="新宋体" w:hAnsi="新宋体" w:eastAsia="新宋体" w:cs="新宋体"/>
          <w:color w:val="auto"/>
          <w:kern w:val="2"/>
          <w:sz w:val="21"/>
          <w:szCs w:val="21"/>
          <w:highlight w:val="none"/>
          <w:lang w:val="en-US" w:eastAsia="zh-CN" w:bidi="ar-SA"/>
        </w:rPr>
        <w:t>工程</w:t>
      </w:r>
      <w:r>
        <w:rPr>
          <w:rFonts w:hint="eastAsia" w:ascii="新宋体" w:hAnsi="新宋体" w:eastAsia="新宋体" w:cs="新宋体"/>
          <w:color w:val="auto"/>
          <w:sz w:val="21"/>
          <w:szCs w:val="21"/>
          <w:highlight w:val="none"/>
          <w:lang w:val="en-US" w:eastAsia="zh-CN"/>
        </w:rPr>
        <w:t>竣工验收合格后，2024年2月10日前支付合同价的70%</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余款审计结束后一次性付清</w:t>
      </w:r>
      <w:r>
        <w:rPr>
          <w:rFonts w:hint="eastAsia" w:ascii="新宋体" w:hAnsi="新宋体" w:eastAsia="新宋体" w:cs="新宋体"/>
          <w:color w:val="auto"/>
          <w:sz w:val="21"/>
          <w:szCs w:val="21"/>
          <w:highlight w:val="none"/>
          <w:lang w:eastAsia="zh-CN"/>
        </w:rPr>
        <w:t>。供货方应在合同约定的付款期限前，开具符合采购方要求的</w:t>
      </w:r>
      <w:r>
        <w:rPr>
          <w:rFonts w:hint="eastAsia" w:ascii="新宋体" w:hAnsi="新宋体" w:eastAsia="新宋体" w:cs="新宋体"/>
          <w:color w:val="auto"/>
          <w:sz w:val="21"/>
          <w:szCs w:val="21"/>
          <w:highlight w:val="none"/>
          <w:lang w:val="en-US" w:eastAsia="zh-CN"/>
        </w:rPr>
        <w:t>13%</w:t>
      </w:r>
      <w:r>
        <w:rPr>
          <w:rFonts w:hint="eastAsia" w:ascii="新宋体" w:hAnsi="新宋体" w:eastAsia="新宋体" w:cs="新宋体"/>
          <w:color w:val="auto"/>
          <w:sz w:val="21"/>
          <w:szCs w:val="21"/>
          <w:highlight w:val="none"/>
          <w:lang w:eastAsia="zh-CN"/>
        </w:rPr>
        <w:t>增值</w:t>
      </w:r>
      <w:r>
        <w:rPr>
          <w:rFonts w:hint="eastAsia" w:ascii="新宋体" w:hAnsi="新宋体" w:eastAsia="新宋体" w:cs="新宋体"/>
          <w:sz w:val="21"/>
          <w:szCs w:val="21"/>
          <w:highlight w:val="none"/>
          <w:lang w:eastAsia="zh-CN"/>
        </w:rPr>
        <w:t>税专用发票，否则采购方有权延迟付款且不承担违约责任。供货方未按规定履行开票义务，由供货方承担造成的税收损失赔偿责任。</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kern w:val="2"/>
          <w:sz w:val="21"/>
          <w:szCs w:val="21"/>
          <w:highlight w:val="none"/>
          <w:lang w:val="en-US" w:eastAsia="zh-CN" w:bidi="ar-SA"/>
        </w:rPr>
      </w:pPr>
      <w:r>
        <w:rPr>
          <w:rFonts w:hint="eastAsia" w:ascii="新宋体" w:hAnsi="新宋体" w:eastAsia="新宋体" w:cs="新宋体"/>
          <w:kern w:val="2"/>
          <w:sz w:val="21"/>
          <w:szCs w:val="21"/>
          <w:highlight w:val="none"/>
          <w:lang w:val="en-US" w:eastAsia="zh-CN" w:bidi="ar-SA"/>
        </w:rPr>
        <w:t>10、联系方式</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lang w:eastAsia="zh-CN"/>
        </w:rPr>
        <w:t>招标单位名称：</w:t>
      </w:r>
      <w:r>
        <w:rPr>
          <w:rFonts w:hint="eastAsia" w:ascii="新宋体" w:hAnsi="新宋体" w:eastAsia="新宋体" w:cs="新宋体"/>
          <w:sz w:val="21"/>
          <w:szCs w:val="21"/>
          <w:highlight w:val="none"/>
          <w:lang w:eastAsia="zh-CN"/>
        </w:rPr>
        <w:t>南通海润水务有限公司</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地址：江苏省南通市通州湾江海联动开发示范区政务中心向南</w:t>
      </w:r>
      <w:r>
        <w:rPr>
          <w:rFonts w:hint="eastAsia" w:ascii="新宋体" w:hAnsi="新宋体" w:eastAsia="新宋体" w:cs="新宋体"/>
          <w:sz w:val="21"/>
          <w:szCs w:val="21"/>
          <w:lang w:val="en-US" w:eastAsia="zh-CN"/>
        </w:rPr>
        <w:t>300米</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联系人：</w:t>
      </w:r>
      <w:r>
        <w:rPr>
          <w:rFonts w:hint="eastAsia" w:ascii="新宋体" w:hAnsi="新宋体" w:eastAsia="新宋体" w:cs="新宋体"/>
          <w:sz w:val="21"/>
          <w:szCs w:val="21"/>
          <w:lang w:val="en-US" w:eastAsia="zh-CN"/>
        </w:rPr>
        <w:t>罗女士</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电话：</w:t>
      </w:r>
      <w:r>
        <w:rPr>
          <w:rFonts w:hint="eastAsia" w:ascii="新宋体" w:hAnsi="新宋体" w:eastAsia="新宋体" w:cs="新宋体"/>
          <w:sz w:val="21"/>
          <w:szCs w:val="21"/>
          <w:lang w:val="en-US" w:eastAsia="zh-CN"/>
        </w:rPr>
        <w:t xml:space="preserve">15951300810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5880" w:firstLineChars="28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val="en-US" w:eastAsia="zh-CN"/>
        </w:rPr>
        <w:t xml:space="preserve"> </w:t>
      </w:r>
      <w:r>
        <w:rPr>
          <w:rFonts w:hint="eastAsia" w:ascii="新宋体" w:hAnsi="新宋体" w:eastAsia="新宋体" w:cs="新宋体"/>
          <w:sz w:val="21"/>
          <w:szCs w:val="21"/>
          <w:lang w:eastAsia="zh-CN"/>
        </w:rPr>
        <w:t>202</w:t>
      </w:r>
      <w:r>
        <w:rPr>
          <w:rFonts w:hint="eastAsia" w:ascii="新宋体" w:hAnsi="新宋体" w:eastAsia="新宋体" w:cs="新宋体"/>
          <w:sz w:val="21"/>
          <w:szCs w:val="21"/>
          <w:lang w:val="en-US" w:eastAsia="zh-CN"/>
        </w:rPr>
        <w:t>3</w:t>
      </w:r>
      <w:r>
        <w:rPr>
          <w:rFonts w:hint="eastAsia" w:ascii="新宋体" w:hAnsi="新宋体" w:eastAsia="新宋体" w:cs="新宋体"/>
          <w:sz w:val="21"/>
          <w:szCs w:val="21"/>
          <w:lang w:eastAsia="zh-CN"/>
        </w:rPr>
        <w:t>年</w:t>
      </w:r>
      <w:r>
        <w:rPr>
          <w:rFonts w:hint="eastAsia" w:ascii="新宋体" w:hAnsi="新宋体" w:eastAsia="新宋体" w:cs="新宋体"/>
          <w:sz w:val="21"/>
          <w:szCs w:val="21"/>
          <w:lang w:val="en-US" w:eastAsia="zh-CN"/>
        </w:rPr>
        <w:t>11</w:t>
      </w:r>
      <w:r>
        <w:rPr>
          <w:rFonts w:hint="eastAsia" w:ascii="新宋体" w:hAnsi="新宋体" w:eastAsia="新宋体" w:cs="新宋体"/>
          <w:sz w:val="21"/>
          <w:szCs w:val="21"/>
          <w:lang w:eastAsia="zh-CN"/>
        </w:rPr>
        <w:t>月</w:t>
      </w:r>
      <w:r>
        <w:rPr>
          <w:rFonts w:hint="eastAsia" w:ascii="新宋体" w:hAnsi="新宋体" w:eastAsia="新宋体" w:cs="新宋体"/>
          <w:sz w:val="21"/>
          <w:szCs w:val="21"/>
          <w:lang w:val="en-US" w:eastAsia="zh-CN"/>
        </w:rPr>
        <w:t>21日</w:t>
      </w: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eastAsia="仿宋_GB2312"/>
          <w:b/>
          <w:bCs/>
          <w:sz w:val="28"/>
          <w:szCs w:val="28"/>
        </w:rPr>
      </w:pPr>
      <w:r>
        <w:rPr>
          <w:rFonts w:hint="eastAsia" w:eastAsia="仿宋_GB2312"/>
          <w:b/>
          <w:sz w:val="28"/>
          <w:szCs w:val="28"/>
        </w:rPr>
        <w:t>一、</w:t>
      </w:r>
      <w:r>
        <w:rPr>
          <w:rFonts w:hint="eastAsia" w:eastAsia="仿宋_GB2312"/>
          <w:b/>
          <w:bCs/>
          <w:sz w:val="28"/>
          <w:szCs w:val="28"/>
        </w:rPr>
        <w:t>询价响应投标函</w:t>
      </w:r>
    </w:p>
    <w:p>
      <w:pPr>
        <w:pStyle w:val="2"/>
        <w:rPr>
          <w:rFonts w:eastAsia="仿宋_GB2312"/>
        </w:rPr>
      </w:pPr>
    </w:p>
    <w:p>
      <w:pPr>
        <w:pStyle w:val="4"/>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pPr>
        <w:pStyle w:val="4"/>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pPr>
        <w:pStyle w:val="4"/>
        <w:spacing w:line="360" w:lineRule="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highlight w:val="none"/>
          <w:lang w:eastAsia="zh-CN"/>
        </w:rPr>
        <w:t>材料明细表</w:t>
      </w:r>
    </w:p>
    <w:tbl>
      <w:tblPr>
        <w:tblStyle w:val="11"/>
        <w:tblW w:w="91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0"/>
        <w:gridCol w:w="2429"/>
        <w:gridCol w:w="989"/>
        <w:gridCol w:w="1545"/>
        <w:gridCol w:w="1174"/>
        <w:gridCol w:w="1589"/>
        <w:gridCol w:w="5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材料名称及规格</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单位</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暂定数量</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单价（元）</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总价（元）</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稳定土混合料</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m3</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spacing w:val="14"/>
                <w:sz w:val="19"/>
                <w:szCs w:val="19"/>
                <w:lang w:val="en-US" w:eastAsia="zh-CN"/>
              </w:rPr>
              <w:t>192.35</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69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合计（元）</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备注：以上数量为预估量，实际数量以招标人需求为准。 </w:t>
      </w:r>
    </w:p>
    <w:p>
      <w:pPr>
        <w:pStyle w:val="5"/>
        <w:spacing w:line="500" w:lineRule="exact"/>
        <w:ind w:right="-216" w:rightChars="-103" w:firstLine="482" w:firstLineChars="200"/>
        <w:rPr>
          <w:rFonts w:hint="eastAsia" w:ascii="仿宋_GB2312" w:hAnsi="仿宋_GB2312" w:eastAsia="仿宋_GB2312" w:cs="仿宋_GB2312"/>
          <w:sz w:val="28"/>
          <w:szCs w:val="28"/>
        </w:rPr>
      </w:pPr>
      <w:r>
        <w:rPr>
          <w:rFonts w:hint="eastAsia" w:ascii="宋体" w:hAnsi="宋体" w:eastAsia="宋体" w:cs="宋体"/>
          <w:b/>
          <w:bCs/>
          <w:color w:val="auto"/>
          <w:sz w:val="24"/>
          <w:szCs w:val="24"/>
          <w:highlight w:val="none"/>
        </w:rPr>
        <w:t>报价包含相关附件、货物运输、装卸、运输保险、税金、</w:t>
      </w:r>
      <w:r>
        <w:rPr>
          <w:rFonts w:hint="eastAsia" w:hAnsi="宋体" w:cs="宋体"/>
          <w:b/>
          <w:bCs/>
          <w:color w:val="auto"/>
          <w:sz w:val="24"/>
          <w:szCs w:val="24"/>
          <w:highlight w:val="none"/>
          <w:lang w:val="en-US" w:eastAsia="zh-CN"/>
        </w:rPr>
        <w:t>施工安装、</w:t>
      </w:r>
      <w:r>
        <w:rPr>
          <w:rFonts w:hint="eastAsia" w:ascii="宋体" w:hAnsi="宋体" w:eastAsia="宋体" w:cs="宋体"/>
          <w:b/>
          <w:bCs/>
          <w:color w:val="auto"/>
          <w:sz w:val="24"/>
          <w:szCs w:val="24"/>
          <w:highlight w:val="none"/>
        </w:rPr>
        <w:t>售后质保服务</w:t>
      </w:r>
      <w:r>
        <w:rPr>
          <w:rFonts w:hint="eastAsia" w:hAnsi="宋体" w:cs="宋体"/>
          <w:b/>
          <w:bCs/>
          <w:color w:val="auto"/>
          <w:sz w:val="24"/>
          <w:szCs w:val="24"/>
          <w:highlight w:val="none"/>
          <w:lang w:val="en-US" w:eastAsia="zh-CN"/>
        </w:rPr>
        <w:t>等相关措施</w:t>
      </w:r>
      <w:r>
        <w:rPr>
          <w:rFonts w:hint="eastAsia" w:ascii="宋体" w:hAnsi="宋体" w:eastAsia="宋体" w:cs="宋体"/>
          <w:b/>
          <w:bCs/>
          <w:color w:val="auto"/>
          <w:sz w:val="24"/>
          <w:szCs w:val="24"/>
          <w:highlight w:val="none"/>
        </w:rPr>
        <w:t>等所有与本项目相关的费用。本项目所有费用一次性包定。请各供应商在报价时请充分考虑各种因素。</w:t>
      </w:r>
    </w:p>
    <w:p>
      <w:pPr>
        <w:pStyle w:val="4"/>
        <w:numPr>
          <w:ilvl w:val="0"/>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贵单位的询价函和本文件将构成对贵方和我方都有约束力的合同文件。</w:t>
      </w:r>
    </w:p>
    <w:p>
      <w:pPr>
        <w:pStyle w:val="4"/>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rPr>
        <w:t xml:space="preserve">                               </w:t>
      </w:r>
    </w:p>
    <w:p>
      <w:pPr>
        <w:pStyle w:val="4"/>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pPr>
        <w:pStyle w:val="4"/>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spacing w:line="400" w:lineRule="exact"/>
        <w:jc w:val="center"/>
        <w:rPr>
          <w:rFonts w:hint="eastAsia" w:ascii="黑体" w:hAnsi="黑体" w:eastAsia="黑体" w:cs="黑体"/>
          <w:sz w:val="28"/>
          <w:szCs w:val="28"/>
          <w:highlight w:val="none"/>
        </w:rPr>
      </w:pPr>
    </w:p>
    <w:p>
      <w:pPr>
        <w:spacing w:line="400" w:lineRule="exact"/>
        <w:jc w:val="center"/>
        <w:rPr>
          <w:rFonts w:hint="eastAsia" w:ascii="黑体" w:hAnsi="黑体" w:eastAsia="黑体" w:cs="黑体"/>
          <w:sz w:val="28"/>
          <w:szCs w:val="28"/>
          <w:highlight w:val="none"/>
        </w:rPr>
      </w:pPr>
    </w:p>
    <w:p>
      <w:pPr>
        <w:spacing w:line="400" w:lineRule="exact"/>
        <w:jc w:val="center"/>
        <w:rPr>
          <w:rFonts w:hint="eastAsia" w:ascii="黑体" w:hAnsi="黑体" w:eastAsia="黑体" w:cs="黑体"/>
          <w:sz w:val="28"/>
          <w:szCs w:val="28"/>
          <w:highlight w:val="none"/>
        </w:rPr>
      </w:pPr>
    </w:p>
    <w:p>
      <w:pPr>
        <w:spacing w:line="400" w:lineRule="exact"/>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pPr>
        <w:spacing w:line="360" w:lineRule="auto"/>
        <w:ind w:firstLine="560" w:firstLineChars="200"/>
        <w:rPr>
          <w:rFonts w:hint="eastAsia" w:ascii="仿宋_GB2312" w:hAnsi="仿宋_GB2312" w:eastAsia="仿宋_GB2312" w:cs="仿宋_GB2312"/>
          <w:sz w:val="28"/>
          <w:szCs w:val="28"/>
          <w:highlight w:val="none"/>
        </w:rPr>
      </w:pPr>
    </w:p>
    <w:p>
      <w:pPr>
        <w:spacing w:line="360" w:lineRule="auto"/>
        <w:rPr>
          <w:rFonts w:hint="eastAsia" w:ascii="仿宋_GB2312" w:hAnsi="仿宋_GB2312" w:eastAsia="仿宋_GB2312" w:cs="仿宋_GB2312"/>
          <w:sz w:val="28"/>
          <w:szCs w:val="28"/>
          <w:highlight w:val="none"/>
        </w:rPr>
      </w:pP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pPr>
        <w:spacing w:line="440" w:lineRule="exact"/>
        <w:rPr>
          <w:rFonts w:hint="eastAsia" w:ascii="仿宋_GB2312" w:hAnsi="仿宋_GB2312" w:eastAsia="仿宋_GB2312" w:cs="仿宋_GB2312"/>
          <w:sz w:val="28"/>
          <w:szCs w:val="28"/>
          <w:highlight w:val="none"/>
        </w:rPr>
      </w:pPr>
    </w:p>
    <w:p>
      <w:pPr>
        <w:spacing w:line="400" w:lineRule="exact"/>
        <w:rPr>
          <w:rFonts w:eastAsia="黑体"/>
          <w:sz w:val="20"/>
          <w:highlight w:val="none"/>
        </w:rPr>
      </w:pPr>
    </w:p>
    <w:p>
      <w:pPr>
        <w:spacing w:line="400" w:lineRule="exact"/>
        <w:rPr>
          <w:rFonts w:eastAsia="黑体"/>
          <w:sz w:val="20"/>
          <w:highlight w:val="none"/>
        </w:rPr>
      </w:pPr>
    </w:p>
    <w:p>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pPr>
        <w:pStyle w:val="19"/>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pPr>
        <w:topLinePunct/>
        <w:rPr>
          <w:sz w:val="28"/>
          <w:szCs w:val="28"/>
          <w:highlight w:val="none"/>
        </w:rPr>
      </w:pPr>
    </w:p>
    <w:p>
      <w:pPr>
        <w:topLinePunct/>
        <w:rPr>
          <w:sz w:val="24"/>
          <w:szCs w:val="24"/>
          <w:highlight w:val="none"/>
        </w:rPr>
      </w:pPr>
    </w:p>
    <w:p>
      <w:pPr>
        <w:topLinePunct/>
        <w:rPr>
          <w:sz w:val="24"/>
          <w:szCs w:val="24"/>
          <w:highlight w:val="none"/>
          <w:u w:val="single"/>
        </w:rPr>
      </w:pPr>
      <w:r>
        <w:rPr>
          <w:sz w:val="24"/>
          <w:szCs w:val="24"/>
          <w:highlight w:val="none"/>
        </w:rPr>
        <w:t>投标人名称：</w:t>
      </w:r>
      <w:r>
        <w:rPr>
          <w:sz w:val="24"/>
          <w:szCs w:val="24"/>
          <w:highlight w:val="none"/>
          <w:u w:val="single"/>
        </w:rPr>
        <w:t xml:space="preserve">               </w:t>
      </w:r>
    </w:p>
    <w:p>
      <w:pPr>
        <w:topLinePunct/>
        <w:rPr>
          <w:sz w:val="24"/>
          <w:szCs w:val="24"/>
          <w:highlight w:val="none"/>
        </w:rPr>
      </w:pPr>
    </w:p>
    <w:p>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pPr>
        <w:topLinePunct/>
        <w:rPr>
          <w:sz w:val="24"/>
          <w:szCs w:val="24"/>
          <w:highlight w:val="none"/>
        </w:rPr>
      </w:pPr>
    </w:p>
    <w:p>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pPr>
        <w:topLinePunct/>
        <w:rPr>
          <w:sz w:val="24"/>
          <w:szCs w:val="24"/>
          <w:highlight w:val="none"/>
        </w:rPr>
      </w:pPr>
    </w:p>
    <w:p>
      <w:pPr>
        <w:topLinePunct/>
        <w:rPr>
          <w:sz w:val="24"/>
          <w:szCs w:val="24"/>
          <w:highlight w:val="none"/>
        </w:rPr>
      </w:pPr>
      <w:r>
        <w:rPr>
          <w:sz w:val="24"/>
          <w:szCs w:val="24"/>
          <w:highlight w:val="none"/>
        </w:rPr>
        <w:t>特此证明。</w:t>
      </w:r>
    </w:p>
    <w:p>
      <w:pPr>
        <w:topLinePunct/>
        <w:rPr>
          <w:sz w:val="24"/>
          <w:szCs w:val="24"/>
          <w:highlight w:val="none"/>
        </w:rPr>
      </w:pPr>
    </w:p>
    <w:p>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pPr>
        <w:topLinePunct/>
        <w:rPr>
          <w:sz w:val="24"/>
          <w:szCs w:val="24"/>
          <w:highlight w:val="none"/>
        </w:rPr>
      </w:pPr>
    </w:p>
    <w:p>
      <w:pPr>
        <w:topLinePunct/>
        <w:rPr>
          <w:sz w:val="24"/>
          <w:szCs w:val="24"/>
          <w:highlight w:val="none"/>
        </w:rPr>
      </w:pPr>
    </w:p>
    <w:p>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pPr>
        <w:topLinePunct/>
        <w:rPr>
          <w:sz w:val="24"/>
          <w:szCs w:val="24"/>
          <w:highlight w:val="none"/>
        </w:rPr>
      </w:pPr>
    </w:p>
    <w:p>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pPr>
        <w:topLinePunct/>
        <w:rPr>
          <w:sz w:val="24"/>
          <w:szCs w:val="24"/>
          <w:highlight w:val="none"/>
        </w:rPr>
      </w:pPr>
    </w:p>
    <w:p>
      <w:pPr>
        <w:topLinePunct/>
        <w:rPr>
          <w:sz w:val="24"/>
          <w:szCs w:val="24"/>
          <w:highlight w:val="none"/>
        </w:rPr>
      </w:pPr>
    </w:p>
    <w:p>
      <w:pPr>
        <w:topLinePunct/>
        <w:rPr>
          <w:sz w:val="24"/>
          <w:szCs w:val="24"/>
          <w:highlight w:val="none"/>
        </w:rPr>
      </w:pPr>
    </w:p>
    <w:p>
      <w:pP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rFonts w:eastAsia="黑体"/>
          <w:b/>
          <w:bCs/>
          <w:sz w:val="24"/>
          <w:szCs w:val="24"/>
          <w:highlight w:val="none"/>
        </w:rPr>
      </w:pPr>
    </w:p>
    <w:p>
      <w:pPr>
        <w:spacing w:before="120" w:beforeLines="50" w:after="120" w:afterLines="50"/>
        <w:jc w:val="center"/>
        <w:rPr>
          <w:rFonts w:eastAsia="黑体"/>
          <w:b/>
          <w:bCs/>
          <w:sz w:val="24"/>
          <w:szCs w:val="24"/>
          <w:highlight w:val="none"/>
        </w:rPr>
      </w:pPr>
    </w:p>
    <w:p>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pPr>
        <w:widowControl/>
        <w:jc w:val="left"/>
        <w:rPr>
          <w:rFonts w:eastAsia="仿宋_GB2312"/>
          <w:highlight w:val="none"/>
        </w:rPr>
      </w:pPr>
    </w:p>
    <w:p>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7D6486"/>
    <w:multiLevelType w:val="singleLevel"/>
    <w:tmpl w:val="777D648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815C76"/>
    <w:rsid w:val="04293B45"/>
    <w:rsid w:val="043E1123"/>
    <w:rsid w:val="043E17EF"/>
    <w:rsid w:val="04505047"/>
    <w:rsid w:val="0471713A"/>
    <w:rsid w:val="0475212F"/>
    <w:rsid w:val="04A50BBF"/>
    <w:rsid w:val="0536722F"/>
    <w:rsid w:val="055C43C1"/>
    <w:rsid w:val="05882122"/>
    <w:rsid w:val="05E51322"/>
    <w:rsid w:val="064A7365"/>
    <w:rsid w:val="06EC66E0"/>
    <w:rsid w:val="073B67A6"/>
    <w:rsid w:val="08204E54"/>
    <w:rsid w:val="09AF5ECF"/>
    <w:rsid w:val="0A32376B"/>
    <w:rsid w:val="0A7975FC"/>
    <w:rsid w:val="0B2179B5"/>
    <w:rsid w:val="0B381027"/>
    <w:rsid w:val="0B6D60DB"/>
    <w:rsid w:val="0C4B4392"/>
    <w:rsid w:val="0CDC2E52"/>
    <w:rsid w:val="0E1944B9"/>
    <w:rsid w:val="0F5865F9"/>
    <w:rsid w:val="10015CAE"/>
    <w:rsid w:val="104B1F70"/>
    <w:rsid w:val="10DB753E"/>
    <w:rsid w:val="11D647A1"/>
    <w:rsid w:val="12331FD8"/>
    <w:rsid w:val="13427DB4"/>
    <w:rsid w:val="137D59A4"/>
    <w:rsid w:val="13983E78"/>
    <w:rsid w:val="145B147D"/>
    <w:rsid w:val="14912CC4"/>
    <w:rsid w:val="14C02599"/>
    <w:rsid w:val="150D4978"/>
    <w:rsid w:val="15C53720"/>
    <w:rsid w:val="1630387B"/>
    <w:rsid w:val="188C5367"/>
    <w:rsid w:val="19EB4BB1"/>
    <w:rsid w:val="1A4F5002"/>
    <w:rsid w:val="1A91517D"/>
    <w:rsid w:val="1B6D65DE"/>
    <w:rsid w:val="1C0A3439"/>
    <w:rsid w:val="1C486E43"/>
    <w:rsid w:val="1C8F3086"/>
    <w:rsid w:val="1CB62939"/>
    <w:rsid w:val="1D087506"/>
    <w:rsid w:val="1DB72B93"/>
    <w:rsid w:val="1EAD4C62"/>
    <w:rsid w:val="214308D6"/>
    <w:rsid w:val="22001566"/>
    <w:rsid w:val="22F4579D"/>
    <w:rsid w:val="24B3270E"/>
    <w:rsid w:val="25500B83"/>
    <w:rsid w:val="261D4E54"/>
    <w:rsid w:val="26246BDA"/>
    <w:rsid w:val="272C4834"/>
    <w:rsid w:val="27337EA0"/>
    <w:rsid w:val="274B11CB"/>
    <w:rsid w:val="285D2684"/>
    <w:rsid w:val="28A264D2"/>
    <w:rsid w:val="28E01405"/>
    <w:rsid w:val="28F2343C"/>
    <w:rsid w:val="290C4BE6"/>
    <w:rsid w:val="29D24455"/>
    <w:rsid w:val="2A773CE4"/>
    <w:rsid w:val="2B714331"/>
    <w:rsid w:val="2B7C4308"/>
    <w:rsid w:val="2BFF288E"/>
    <w:rsid w:val="2BFF782E"/>
    <w:rsid w:val="2C775E84"/>
    <w:rsid w:val="2D6234C6"/>
    <w:rsid w:val="2D71156A"/>
    <w:rsid w:val="2D7725A5"/>
    <w:rsid w:val="2E297648"/>
    <w:rsid w:val="2E880F9C"/>
    <w:rsid w:val="2EB35CE5"/>
    <w:rsid w:val="300B43F1"/>
    <w:rsid w:val="30941F4F"/>
    <w:rsid w:val="309769AC"/>
    <w:rsid w:val="30C36025"/>
    <w:rsid w:val="31EB6A22"/>
    <w:rsid w:val="32B10872"/>
    <w:rsid w:val="32E323D6"/>
    <w:rsid w:val="32EA59E0"/>
    <w:rsid w:val="33C049FD"/>
    <w:rsid w:val="33F0079A"/>
    <w:rsid w:val="35F1601E"/>
    <w:rsid w:val="36A4441A"/>
    <w:rsid w:val="383E24A2"/>
    <w:rsid w:val="38B87533"/>
    <w:rsid w:val="3919618E"/>
    <w:rsid w:val="392D0C89"/>
    <w:rsid w:val="39A05FBC"/>
    <w:rsid w:val="39A30F8E"/>
    <w:rsid w:val="39AB1C59"/>
    <w:rsid w:val="39AD6C87"/>
    <w:rsid w:val="39E20B60"/>
    <w:rsid w:val="3A713834"/>
    <w:rsid w:val="3AC72567"/>
    <w:rsid w:val="3BA001F5"/>
    <w:rsid w:val="3BBF5B96"/>
    <w:rsid w:val="3C3F2656"/>
    <w:rsid w:val="3C913356"/>
    <w:rsid w:val="3CD178E2"/>
    <w:rsid w:val="3CD92C87"/>
    <w:rsid w:val="3D074285"/>
    <w:rsid w:val="3D4E195F"/>
    <w:rsid w:val="3D555632"/>
    <w:rsid w:val="3D716477"/>
    <w:rsid w:val="3EAD16DA"/>
    <w:rsid w:val="3F5605BF"/>
    <w:rsid w:val="3FB07CDD"/>
    <w:rsid w:val="40565C15"/>
    <w:rsid w:val="40AB4D80"/>
    <w:rsid w:val="4110479E"/>
    <w:rsid w:val="412F731A"/>
    <w:rsid w:val="414803DC"/>
    <w:rsid w:val="418C6013"/>
    <w:rsid w:val="42103A21"/>
    <w:rsid w:val="42310CD2"/>
    <w:rsid w:val="427F68B8"/>
    <w:rsid w:val="42D10BBC"/>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3F701C"/>
    <w:rsid w:val="4A9E4929"/>
    <w:rsid w:val="4AB726C9"/>
    <w:rsid w:val="4B4614E8"/>
    <w:rsid w:val="4C8E75EA"/>
    <w:rsid w:val="4C8F3D85"/>
    <w:rsid w:val="4CAF1D45"/>
    <w:rsid w:val="4D095335"/>
    <w:rsid w:val="4E024AA5"/>
    <w:rsid w:val="4EE536A8"/>
    <w:rsid w:val="4F147B4F"/>
    <w:rsid w:val="4FB35C8C"/>
    <w:rsid w:val="500D694B"/>
    <w:rsid w:val="52E02222"/>
    <w:rsid w:val="531B0DD1"/>
    <w:rsid w:val="534B3C62"/>
    <w:rsid w:val="549D67BA"/>
    <w:rsid w:val="54B2692B"/>
    <w:rsid w:val="54B87E29"/>
    <w:rsid w:val="55B66130"/>
    <w:rsid w:val="57460AC2"/>
    <w:rsid w:val="57651399"/>
    <w:rsid w:val="57C257C8"/>
    <w:rsid w:val="57C8022A"/>
    <w:rsid w:val="583558C1"/>
    <w:rsid w:val="58480237"/>
    <w:rsid w:val="592335E5"/>
    <w:rsid w:val="59CA7788"/>
    <w:rsid w:val="59E1299B"/>
    <w:rsid w:val="5A59057A"/>
    <w:rsid w:val="5AAB75B9"/>
    <w:rsid w:val="5C6427BE"/>
    <w:rsid w:val="5C8E5609"/>
    <w:rsid w:val="5C8F57E8"/>
    <w:rsid w:val="5DDE3802"/>
    <w:rsid w:val="5DEF2DEC"/>
    <w:rsid w:val="5E5178F8"/>
    <w:rsid w:val="5EFD0B8D"/>
    <w:rsid w:val="5FCD1D80"/>
    <w:rsid w:val="5FF46CC2"/>
    <w:rsid w:val="6042072E"/>
    <w:rsid w:val="60761C28"/>
    <w:rsid w:val="62F32D38"/>
    <w:rsid w:val="631A740A"/>
    <w:rsid w:val="6336277D"/>
    <w:rsid w:val="63C445C8"/>
    <w:rsid w:val="64285AC1"/>
    <w:rsid w:val="64417F62"/>
    <w:rsid w:val="64B80E07"/>
    <w:rsid w:val="650418B5"/>
    <w:rsid w:val="66067D9A"/>
    <w:rsid w:val="66AD0E93"/>
    <w:rsid w:val="69152919"/>
    <w:rsid w:val="694C3F80"/>
    <w:rsid w:val="69C56E29"/>
    <w:rsid w:val="6B0831C2"/>
    <w:rsid w:val="6B382892"/>
    <w:rsid w:val="6D187100"/>
    <w:rsid w:val="6D7C20FB"/>
    <w:rsid w:val="6DC8512C"/>
    <w:rsid w:val="6DDB4AA1"/>
    <w:rsid w:val="6DE244ED"/>
    <w:rsid w:val="6DE752F6"/>
    <w:rsid w:val="6F151804"/>
    <w:rsid w:val="6F806465"/>
    <w:rsid w:val="6FD40CD6"/>
    <w:rsid w:val="6FFB08CE"/>
    <w:rsid w:val="709E0E70"/>
    <w:rsid w:val="70D373F9"/>
    <w:rsid w:val="711A5A94"/>
    <w:rsid w:val="71C56874"/>
    <w:rsid w:val="71D7114D"/>
    <w:rsid w:val="720E53D0"/>
    <w:rsid w:val="725B146D"/>
    <w:rsid w:val="7346700B"/>
    <w:rsid w:val="738A3544"/>
    <w:rsid w:val="738B29AB"/>
    <w:rsid w:val="73CE5DC4"/>
    <w:rsid w:val="745540AB"/>
    <w:rsid w:val="74696271"/>
    <w:rsid w:val="75F46CBE"/>
    <w:rsid w:val="762647C2"/>
    <w:rsid w:val="765D66FC"/>
    <w:rsid w:val="766E5C13"/>
    <w:rsid w:val="76AD7DD9"/>
    <w:rsid w:val="779571D0"/>
    <w:rsid w:val="78196F95"/>
    <w:rsid w:val="79790728"/>
    <w:rsid w:val="7A794B87"/>
    <w:rsid w:val="7AA8546C"/>
    <w:rsid w:val="7BA4350A"/>
    <w:rsid w:val="7C574669"/>
    <w:rsid w:val="7D6B350D"/>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qFormat/>
    <w:uiPriority w:val="0"/>
    <w:pPr>
      <w:spacing w:after="120"/>
    </w:pPr>
  </w:style>
  <w:style w:type="paragraph" w:customStyle="1" w:styleId="3">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4">
    <w:name w:val="Normal Indent"/>
    <w:basedOn w:val="1"/>
    <w:link w:val="15"/>
    <w:qFormat/>
    <w:uiPriority w:val="99"/>
    <w:pPr>
      <w:adjustRightInd w:val="0"/>
      <w:spacing w:line="360" w:lineRule="atLeast"/>
      <w:ind w:firstLine="482"/>
      <w:textAlignment w:val="baseline"/>
    </w:pPr>
    <w:rPr>
      <w:kern w:val="0"/>
      <w:sz w:val="24"/>
    </w:rPr>
  </w:style>
  <w:style w:type="paragraph" w:styleId="5">
    <w:name w:val="Plain Text"/>
    <w:basedOn w:val="1"/>
    <w:next w:val="6"/>
    <w:qFormat/>
    <w:uiPriority w:val="99"/>
    <w:rPr>
      <w:rFonts w:ascii="宋体" w:hAnsi="Courier New"/>
      <w:sz w:val="24"/>
      <w:szCs w:val="20"/>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18"/>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1"/>
    <w:qFormat/>
    <w:uiPriority w:val="0"/>
    <w:pPr>
      <w:spacing w:line="360" w:lineRule="auto"/>
      <w:ind w:firstLine="482"/>
    </w:pPr>
    <w:rPr>
      <w:b/>
      <w:sz w:val="24"/>
    </w:rPr>
  </w:style>
  <w:style w:type="table" w:styleId="12">
    <w:name w:val="Table Grid"/>
    <w:basedOn w:val="11"/>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正文文本 字符"/>
    <w:basedOn w:val="13"/>
    <w:link w:val="2"/>
    <w:qFormat/>
    <w:uiPriority w:val="0"/>
    <w:rPr>
      <w:rFonts w:ascii="Times New Roman" w:hAnsi="Times New Roman" w:eastAsia="宋体" w:cs="Times New Roman"/>
      <w:szCs w:val="24"/>
    </w:rPr>
  </w:style>
  <w:style w:type="character" w:customStyle="1" w:styleId="15">
    <w:name w:val="正文缩进 字符"/>
    <w:link w:val="4"/>
    <w:qFormat/>
    <w:locked/>
    <w:uiPriority w:val="99"/>
    <w:rPr>
      <w:rFonts w:ascii="Times New Roman" w:hAnsi="Times New Roman" w:eastAsia="宋体" w:cs="Times New Roman"/>
      <w:kern w:val="0"/>
      <w:sz w:val="24"/>
      <w:szCs w:val="24"/>
    </w:rPr>
  </w:style>
  <w:style w:type="character" w:customStyle="1" w:styleId="16">
    <w:name w:val="页眉 字符"/>
    <w:basedOn w:val="13"/>
    <w:link w:val="9"/>
    <w:qFormat/>
    <w:uiPriority w:val="99"/>
    <w:rPr>
      <w:rFonts w:ascii="Times New Roman" w:hAnsi="Times New Roman" w:eastAsia="宋体" w:cs="Times New Roman"/>
      <w:sz w:val="18"/>
      <w:szCs w:val="18"/>
    </w:rPr>
  </w:style>
  <w:style w:type="character" w:customStyle="1" w:styleId="17">
    <w:name w:val="页脚 字符"/>
    <w:basedOn w:val="13"/>
    <w:link w:val="8"/>
    <w:qFormat/>
    <w:uiPriority w:val="99"/>
    <w:rPr>
      <w:rFonts w:ascii="Times New Roman" w:hAnsi="Times New Roman" w:eastAsia="宋体" w:cs="Times New Roman"/>
      <w:sz w:val="18"/>
      <w:szCs w:val="18"/>
    </w:rPr>
  </w:style>
  <w:style w:type="character" w:customStyle="1" w:styleId="18">
    <w:name w:val="批注框文本 字符"/>
    <w:basedOn w:val="13"/>
    <w:link w:val="7"/>
    <w:semiHidden/>
    <w:qFormat/>
    <w:uiPriority w:val="99"/>
    <w:rPr>
      <w:rFonts w:ascii="Times New Roman" w:hAnsi="Times New Roman" w:eastAsia="宋体" w:cs="Times New Roman"/>
      <w:sz w:val="18"/>
      <w:szCs w:val="18"/>
    </w:rPr>
  </w:style>
  <w:style w:type="paragraph" w:styleId="19">
    <w:name w:val="List Paragraph"/>
    <w:basedOn w:val="1"/>
    <w:qFormat/>
    <w:uiPriority w:val="99"/>
    <w:pPr>
      <w:ind w:firstLine="420" w:firstLineChars="200"/>
    </w:pPr>
  </w:style>
  <w:style w:type="character" w:customStyle="1" w:styleId="20">
    <w:name w:val="font11"/>
    <w:basedOn w:val="13"/>
    <w:qFormat/>
    <w:uiPriority w:val="0"/>
    <w:rPr>
      <w:rFonts w:hint="eastAsia" w:ascii="宋体" w:hAnsi="宋体" w:eastAsia="宋体" w:cs="宋体"/>
      <w:color w:val="000000"/>
      <w:sz w:val="20"/>
      <w:szCs w:val="20"/>
      <w:u w:val="none"/>
    </w:rPr>
  </w:style>
  <w:style w:type="character" w:customStyle="1" w:styleId="21">
    <w:name w:val="font31"/>
    <w:basedOn w:val="13"/>
    <w:qFormat/>
    <w:uiPriority w:val="0"/>
    <w:rPr>
      <w:rFonts w:hint="eastAsia" w:ascii="宋体" w:hAnsi="宋体" w:eastAsia="宋体" w:cs="宋体"/>
      <w:color w:val="FF0000"/>
      <w:sz w:val="20"/>
      <w:szCs w:val="20"/>
      <w:u w:val="none"/>
    </w:rPr>
  </w:style>
  <w:style w:type="character" w:customStyle="1" w:styleId="22">
    <w:name w:val="font2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1908</Words>
  <Characters>2086</Characters>
  <Lines>13</Lines>
  <Paragraphs>3</Paragraphs>
  <TotalTime>3</TotalTime>
  <ScaleCrop>false</ScaleCrop>
  <LinksUpToDate>false</LinksUpToDate>
  <CharactersWithSpaces>2627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2023-08-01T05:39:00Z</cp:lastPrinted>
  <dcterms:modified xsi:type="dcterms:W3CDTF">2023-11-20T09:16:05Z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81C6F057F1734F908337C1C833383968_13</vt:lpwstr>
  </property>
</Properties>
</file>