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华文中宋" w:eastAsia="方正小标宋简体" w:cs="宋体"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小标宋简体" w:hAnsi="华文中宋" w:eastAsia="方正小标宋简体" w:cs="宋体"/>
          <w:bCs/>
          <w:sz w:val="36"/>
          <w:szCs w:val="36"/>
        </w:rPr>
        <w:t>南通市崇川区任港路停车楼</w:t>
      </w:r>
      <w:r>
        <w:rPr>
          <w:rFonts w:hint="eastAsia" w:ascii="方正小标宋简体" w:hAnsi="华文中宋" w:eastAsia="方正小标宋简体" w:cs="宋体"/>
          <w:bCs/>
          <w:sz w:val="36"/>
          <w:szCs w:val="36"/>
          <w:lang w:val="en-US" w:eastAsia="zh-CN"/>
        </w:rPr>
        <w:t>商业区</w:t>
      </w:r>
    </w:p>
    <w:p>
      <w:pPr>
        <w:spacing w:line="560" w:lineRule="exact"/>
        <w:jc w:val="center"/>
        <w:rPr>
          <w:rFonts w:ascii="方正小标宋简体" w:hAnsi="华文中宋" w:eastAsia="方正小标宋简体" w:cs="宋体"/>
          <w:bCs/>
          <w:sz w:val="36"/>
          <w:szCs w:val="36"/>
        </w:rPr>
      </w:pPr>
      <w:r>
        <w:rPr>
          <w:rFonts w:hint="eastAsia" w:ascii="方正小标宋简体" w:hAnsi="华文中宋" w:eastAsia="方正小标宋简体" w:cs="宋体"/>
          <w:bCs/>
          <w:sz w:val="36"/>
          <w:szCs w:val="36"/>
        </w:rPr>
        <w:t>商铺招商征集</w:t>
      </w:r>
      <w:r>
        <w:rPr>
          <w:rFonts w:hint="eastAsia" w:ascii="方正小标宋简体" w:hAnsi="华文中宋" w:eastAsia="方正小标宋简体" w:cs="宋体"/>
          <w:bCs/>
          <w:sz w:val="36"/>
          <w:szCs w:val="36"/>
          <w:lang w:eastAsia="zh-CN"/>
        </w:rPr>
        <w:t>评审</w:t>
      </w:r>
      <w:r>
        <w:rPr>
          <w:rFonts w:hint="eastAsia" w:ascii="方正小标宋简体" w:hAnsi="华文中宋" w:eastAsia="方正小标宋简体" w:cs="宋体"/>
          <w:bCs/>
          <w:sz w:val="36"/>
          <w:szCs w:val="36"/>
        </w:rPr>
        <w:t>办法</w:t>
      </w:r>
    </w:p>
    <w:p>
      <w:pPr>
        <w:pStyle w:val="19"/>
        <w:spacing w:line="56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19"/>
        <w:spacing w:line="560" w:lineRule="exact"/>
        <w:ind w:firstLine="640" w:firstLineChars="200"/>
        <w:rPr>
          <w:rFonts w:ascii="黑体" w:hAnsi="黑体" w:eastAsia="黑体"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Cs/>
          <w:color w:val="auto"/>
          <w:sz w:val="32"/>
          <w:szCs w:val="32"/>
        </w:rPr>
        <w:t>一、</w:t>
      </w:r>
      <w:r>
        <w:rPr>
          <w:rFonts w:hint="eastAsia" w:ascii="黑体" w:hAnsi="黑体" w:eastAsia="黑体"/>
          <w:bCs/>
          <w:color w:val="auto"/>
          <w:sz w:val="32"/>
          <w:szCs w:val="32"/>
          <w:lang w:eastAsia="zh-CN"/>
        </w:rPr>
        <w:t>评审</w:t>
      </w:r>
      <w:r>
        <w:rPr>
          <w:rFonts w:hint="eastAsia" w:ascii="黑体" w:hAnsi="黑体" w:eastAsia="黑体"/>
          <w:bCs/>
          <w:color w:val="auto"/>
          <w:sz w:val="32"/>
          <w:szCs w:val="32"/>
        </w:rPr>
        <w:t>组织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1</w:t>
      </w:r>
      <w:r>
        <w:rPr>
          <w:rFonts w:hint="eastAsia" w:ascii="仿宋" w:hAnsi="仿宋" w:eastAsia="仿宋"/>
          <w:color w:val="auto"/>
          <w:sz w:val="32"/>
          <w:szCs w:val="32"/>
        </w:rPr>
        <w:t>、组织机构：由征集人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按规定组成评审小组开展评审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pStyle w:val="19"/>
        <w:spacing w:line="560" w:lineRule="exact"/>
        <w:ind w:left="319" w:leftChars="152" w:firstLine="320" w:firstLineChars="100"/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</w:rPr>
        <w:t>、报名及递交文件时间：2023年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</w:rPr>
        <w:t>日至2023年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地点：南通国有不动产经营管理有限公司会议室。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4</w:t>
      </w:r>
      <w:r>
        <w:rPr>
          <w:rFonts w:hint="eastAsia" w:ascii="仿宋" w:hAnsi="仿宋" w:eastAsia="仿宋"/>
          <w:color w:val="auto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对象：2023年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</w:rPr>
        <w:t>日下午17：00时前提交有效报名资料和响应文件的征集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响应人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、组织纪律：坚持公平、公正和诚实信用原则，按照本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办法对全部响应人进行综合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过程中，不得接收响应人递交的补充材料。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7、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相关信息需全程保密，不得泄漏。</w:t>
      </w:r>
    </w:p>
    <w:p>
      <w:pPr>
        <w:pStyle w:val="19"/>
        <w:spacing w:line="560" w:lineRule="exact"/>
        <w:ind w:firstLine="640" w:firstLineChars="200"/>
        <w:rPr>
          <w:rFonts w:ascii="黑体" w:hAnsi="黑体" w:eastAsia="黑体"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Cs/>
          <w:color w:val="auto"/>
          <w:sz w:val="32"/>
          <w:szCs w:val="32"/>
        </w:rPr>
        <w:t>二、</w:t>
      </w:r>
      <w:r>
        <w:rPr>
          <w:rFonts w:hint="eastAsia" w:ascii="黑体" w:hAnsi="黑体" w:eastAsia="黑体"/>
          <w:bCs/>
          <w:color w:val="auto"/>
          <w:sz w:val="32"/>
          <w:szCs w:val="32"/>
          <w:lang w:eastAsia="zh-CN"/>
        </w:rPr>
        <w:t>评审</w:t>
      </w:r>
      <w:r>
        <w:rPr>
          <w:rFonts w:hint="eastAsia" w:ascii="黑体" w:hAnsi="黑体" w:eastAsia="黑体"/>
          <w:bCs/>
          <w:color w:val="auto"/>
          <w:sz w:val="32"/>
          <w:szCs w:val="32"/>
        </w:rPr>
        <w:t>程序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由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评审小组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组长</w:t>
      </w:r>
      <w:r>
        <w:rPr>
          <w:rFonts w:hint="eastAsia" w:ascii="仿宋" w:hAnsi="仿宋" w:eastAsia="仿宋"/>
          <w:color w:val="auto"/>
          <w:sz w:val="32"/>
          <w:szCs w:val="32"/>
        </w:rPr>
        <w:t>主持招商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会议，组织开展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工作：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1</w:t>
      </w:r>
      <w:r>
        <w:rPr>
          <w:rFonts w:hint="eastAsia" w:ascii="仿宋" w:hAnsi="仿宋" w:eastAsia="仿宋"/>
          <w:color w:val="auto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评审小组</w:t>
      </w:r>
      <w:r>
        <w:rPr>
          <w:rFonts w:hint="eastAsia" w:ascii="仿宋" w:hAnsi="仿宋" w:eastAsia="仿宋"/>
          <w:color w:val="auto"/>
          <w:sz w:val="32"/>
          <w:szCs w:val="32"/>
        </w:rPr>
        <w:t>全体成员熟悉本次征集项目的内容、要求、商业规划和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办法;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</w:rPr>
        <w:t>、核对全部响应材料名录;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、查验响应资料的密封性、完整性;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4</w:t>
      </w:r>
      <w:r>
        <w:rPr>
          <w:rFonts w:hint="eastAsia" w:ascii="仿宋" w:hAnsi="仿宋" w:eastAsia="仿宋"/>
          <w:color w:val="auto"/>
          <w:sz w:val="32"/>
          <w:szCs w:val="32"/>
        </w:rPr>
        <w:t>、开封响应材料;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、统计响应材料；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评审小组</w:t>
      </w:r>
      <w:r>
        <w:rPr>
          <w:rFonts w:hint="eastAsia" w:ascii="仿宋" w:hAnsi="仿宋" w:eastAsia="仿宋"/>
          <w:color w:val="auto"/>
          <w:sz w:val="32"/>
          <w:szCs w:val="32"/>
        </w:rPr>
        <w:t>对每家有效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响应人</w:t>
      </w:r>
      <w:r>
        <w:rPr>
          <w:rFonts w:hint="eastAsia" w:ascii="仿宋" w:hAnsi="仿宋" w:eastAsia="仿宋"/>
          <w:color w:val="auto"/>
          <w:sz w:val="32"/>
          <w:szCs w:val="32"/>
        </w:rPr>
        <w:t>按商务技术分（1-5项，满分</w:t>
      </w:r>
      <w:r>
        <w:rPr>
          <w:rFonts w:ascii="仿宋" w:hAnsi="仿宋" w:eastAsia="仿宋"/>
          <w:color w:val="auto"/>
          <w:sz w:val="32"/>
          <w:szCs w:val="32"/>
        </w:rPr>
        <w:t>70</w:t>
      </w:r>
      <w:r>
        <w:rPr>
          <w:rFonts w:hint="eastAsia" w:ascii="仿宋" w:hAnsi="仿宋" w:eastAsia="仿宋"/>
          <w:color w:val="auto"/>
          <w:sz w:val="32"/>
          <w:szCs w:val="32"/>
        </w:rPr>
        <w:t>分）加响应价格得分（第6项，满分</w:t>
      </w:r>
      <w:r>
        <w:rPr>
          <w:rFonts w:ascii="仿宋" w:hAnsi="仿宋" w:eastAsia="仿宋"/>
          <w:color w:val="auto"/>
          <w:sz w:val="32"/>
          <w:szCs w:val="32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</w:rPr>
        <w:t>分），总计满分1</w:t>
      </w:r>
      <w:r>
        <w:rPr>
          <w:rFonts w:ascii="仿宋" w:hAnsi="仿宋" w:eastAsia="仿宋"/>
          <w:color w:val="auto"/>
          <w:sz w:val="32"/>
          <w:szCs w:val="32"/>
        </w:rPr>
        <w:t>00</w:t>
      </w:r>
      <w:r>
        <w:rPr>
          <w:rFonts w:hint="eastAsia" w:ascii="仿宋" w:hAnsi="仿宋" w:eastAsia="仿宋"/>
          <w:color w:val="auto"/>
          <w:sz w:val="32"/>
          <w:szCs w:val="32"/>
        </w:rPr>
        <w:t>分的评分标准进行综合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；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  <w:szCs w:val="32"/>
        </w:rPr>
        <w:t>、本次招商征集综合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录取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响应人</w:t>
      </w:r>
      <w:r>
        <w:rPr>
          <w:rFonts w:hint="eastAsia" w:ascii="仿宋" w:hAnsi="仿宋" w:eastAsia="仿宋"/>
          <w:color w:val="auto"/>
          <w:sz w:val="32"/>
          <w:szCs w:val="32"/>
        </w:rPr>
        <w:t>的资格审查合格分为60分，低于60分的为不合格；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评审小组</w:t>
      </w:r>
      <w:r>
        <w:rPr>
          <w:rFonts w:hint="eastAsia" w:ascii="仿宋" w:hAnsi="仿宋" w:eastAsia="仿宋"/>
          <w:color w:val="auto"/>
          <w:sz w:val="32"/>
          <w:szCs w:val="32"/>
        </w:rPr>
        <w:t>对每间商铺超过合格分的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响应人</w:t>
      </w:r>
      <w:r>
        <w:rPr>
          <w:rFonts w:hint="eastAsia" w:ascii="仿宋" w:hAnsi="仿宋" w:eastAsia="仿宋"/>
          <w:color w:val="auto"/>
          <w:sz w:val="32"/>
          <w:szCs w:val="32"/>
        </w:rPr>
        <w:t>进行由高到低排名，取前三名为中标候选人，如第一中标人弃权，则由第二名中标，依此类推；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评审小组</w:t>
      </w:r>
      <w:r>
        <w:rPr>
          <w:rFonts w:hint="eastAsia" w:ascii="仿宋" w:hAnsi="仿宋" w:eastAsia="仿宋"/>
          <w:color w:val="auto"/>
          <w:sz w:val="32"/>
          <w:szCs w:val="32"/>
        </w:rPr>
        <w:t>汇总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结果；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评审小组</w:t>
      </w:r>
      <w:r>
        <w:rPr>
          <w:rFonts w:hint="eastAsia" w:ascii="仿宋" w:hAnsi="仿宋" w:eastAsia="仿宋"/>
          <w:color w:val="auto"/>
          <w:sz w:val="32"/>
          <w:szCs w:val="32"/>
        </w:rPr>
        <w:t>将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结果在集团官网进行公示；</w:t>
      </w:r>
    </w:p>
    <w:p>
      <w:pPr>
        <w:pStyle w:val="19"/>
        <w:spacing w:line="560" w:lineRule="exact"/>
        <w:ind w:firstLine="640" w:firstLineChars="200"/>
        <w:rPr>
          <w:rFonts w:hint="eastAsia" w:ascii="黑体" w:hAnsi="黑体" w:eastAsia="黑体"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注：全部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color w:val="auto"/>
          <w:sz w:val="32"/>
          <w:szCs w:val="32"/>
        </w:rPr>
        <w:t>过程形成书面记录，留档保存。</w:t>
      </w:r>
    </w:p>
    <w:p>
      <w:pPr>
        <w:pStyle w:val="19"/>
        <w:numPr>
          <w:ilvl w:val="0"/>
          <w:numId w:val="1"/>
        </w:numPr>
        <w:spacing w:line="560" w:lineRule="exact"/>
        <w:rPr>
          <w:rFonts w:hint="eastAsia" w:ascii="黑体" w:hAnsi="黑体" w:eastAsia="黑体"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Cs/>
          <w:color w:val="auto"/>
          <w:sz w:val="32"/>
          <w:szCs w:val="32"/>
          <w:lang w:eastAsia="zh-CN"/>
        </w:rPr>
        <w:t>评审</w:t>
      </w:r>
      <w:r>
        <w:rPr>
          <w:rFonts w:hint="eastAsia" w:ascii="黑体" w:hAnsi="黑体" w:eastAsia="黑体"/>
          <w:bCs/>
          <w:color w:val="auto"/>
          <w:sz w:val="32"/>
          <w:szCs w:val="32"/>
        </w:rPr>
        <w:t>标准</w:t>
      </w:r>
    </w:p>
    <w:tbl>
      <w:tblPr>
        <w:tblStyle w:val="9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823"/>
        <w:gridCol w:w="877"/>
        <w:gridCol w:w="6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评议项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满分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评议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482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经营实力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响应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人从事本行业的经营年限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（以响应人提供的营业执照注册时间为准）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进行评议，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注册时间5年（含5年）以上的得5分；满4年的得4分；满3年的得3分；满2年的得2分；满1年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的得1分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；低于1年的不得分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8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响应人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从事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开设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本行业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店铺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进行评议，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实际经营中同品类店铺数量超过5家（含5家）得5分；数量达4家得4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；数量达3家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；数量达2家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；数量达1家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；目前未有实际经营店铺不得分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482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经营保障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响应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人经营团队的组织架构方面进行评议，组织架构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健全的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分，组织架构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健全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较好的得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分，组织架构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健全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一般的得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本项根据申请人提供的单位信息评定（1.有完善的组织架构，包含：管理层级和各部门职责分工；2.有明晰的员工管理制度，包含：考核办法和培训机制）。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8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从申请人经营团队的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从业人员数量和专业化程度（缴纳社保）两个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方面进行评议，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从业人员数量超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0人（含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0人）的得5分；从业人员数量超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人（含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人）的得4分；从业人员数量超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人（含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人）的得3分；从业人员数量超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人（含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人）的得2分；从业人员数量超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人（含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人）的得1分；从业人员数量低于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人的不得分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482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品牌影响力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人性质进行评议，品牌连锁直营商得10分；品牌连锁加盟商得5分；自创品牌个体经营得1分。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2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8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从品牌的排名进行评议，在同铺位所有申请品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中进行排序，第一名得15分，其余依次递减2分，最低得1分。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2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482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商业经营条件的契合度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响应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人申请的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经营所需附加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要求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（用电、用水、通风、排污、其他等方面）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与本项目商业规划定位的符合度等方面进行评议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好的得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分，较好的得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分，一般的得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482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环境友好度</w:t>
            </w:r>
          </w:p>
        </w:tc>
        <w:tc>
          <w:tcPr>
            <w:tcW w:w="514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对响应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经营中所需的能源消耗进行评议，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好的得5分，较好的得4分，一般的得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8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4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人经营中所需的经营环境要求、三废排放等方面的友好程度进行评议，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好的得5分，较好的得4分，一般的得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分。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4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经营权承包费得分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经营权承包费基准价不低于1.8元/平方米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日的商铺，响应单价每增加0.1元，增加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分。经营权承包费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元/平方米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日可得满分30分（经营权承包费超过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元/平方米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日的得分按30分计）。</w:t>
            </w:r>
          </w:p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经营权承包费基准价不低于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元/平方米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日的商铺，在此基础上，单价每增加0.1元，增加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分。经营权承包费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元/平方米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日可得满分30分（经营权承包费超过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元/平方米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日的得分按30分计）。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凡不低于响应基准价得20分。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*</w:t>
            </w:r>
          </w:p>
        </w:tc>
        <w:tc>
          <w:tcPr>
            <w:tcW w:w="4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汇总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100分</w:t>
            </w:r>
          </w:p>
        </w:tc>
        <w:tc>
          <w:tcPr>
            <w:tcW w:w="37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/>
    <w:p>
      <w:pPr>
        <w:pStyle w:val="19"/>
        <w:spacing w:line="560" w:lineRule="exact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注：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经营权承包费得分满分为3</w:t>
      </w:r>
      <w:r>
        <w:rPr>
          <w:rFonts w:ascii="仿宋_GB2312" w:hAnsi="仿宋" w:eastAsia="仿宋_GB2312"/>
          <w:color w:val="auto"/>
          <w:sz w:val="32"/>
          <w:szCs w:val="32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分，响应报价超过最高承包费的，在商务技术部分得分相同的情况下，优先选择最高响应报价人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</w:p>
    <w:p>
      <w:pPr>
        <w:pStyle w:val="19"/>
        <w:spacing w:line="560" w:lineRule="exact"/>
        <w:rPr>
          <w:rFonts w:ascii="仿宋_GB2312" w:hAnsi="仿宋" w:eastAsia="仿宋_GB2312"/>
          <w:color w:val="auto"/>
          <w:sz w:val="32"/>
          <w:szCs w:val="32"/>
        </w:rPr>
      </w:pPr>
    </w:p>
    <w:p>
      <w:pPr>
        <w:pStyle w:val="19"/>
        <w:spacing w:line="560" w:lineRule="exact"/>
        <w:rPr>
          <w:rFonts w:ascii="仿宋" w:hAnsi="仿宋" w:eastAsia="仿宋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653A5C"/>
    <w:multiLevelType w:val="singleLevel"/>
    <w:tmpl w:val="CC653A5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NmOWE4OWVhOGFkZTdlYmZjODY5MDU5ODU0YWVkYTQifQ=="/>
  </w:docVars>
  <w:rsids>
    <w:rsidRoot w:val="00CC232F"/>
    <w:rsid w:val="00000A90"/>
    <w:rsid w:val="00032BA8"/>
    <w:rsid w:val="000505DD"/>
    <w:rsid w:val="00056D78"/>
    <w:rsid w:val="0006085B"/>
    <w:rsid w:val="000629B7"/>
    <w:rsid w:val="00082A08"/>
    <w:rsid w:val="00093FEA"/>
    <w:rsid w:val="000A50B9"/>
    <w:rsid w:val="000A5C4B"/>
    <w:rsid w:val="000A7261"/>
    <w:rsid w:val="000B7078"/>
    <w:rsid w:val="000B75E4"/>
    <w:rsid w:val="000D0212"/>
    <w:rsid w:val="000D7832"/>
    <w:rsid w:val="000E0302"/>
    <w:rsid w:val="000F0048"/>
    <w:rsid w:val="000F142D"/>
    <w:rsid w:val="001016A9"/>
    <w:rsid w:val="00136E5A"/>
    <w:rsid w:val="00156F92"/>
    <w:rsid w:val="00163661"/>
    <w:rsid w:val="00181DD9"/>
    <w:rsid w:val="001A5A3F"/>
    <w:rsid w:val="001A7FF9"/>
    <w:rsid w:val="001B5C33"/>
    <w:rsid w:val="001E2B52"/>
    <w:rsid w:val="001F4E6D"/>
    <w:rsid w:val="001F599C"/>
    <w:rsid w:val="00253749"/>
    <w:rsid w:val="00284909"/>
    <w:rsid w:val="002A53D7"/>
    <w:rsid w:val="002D1920"/>
    <w:rsid w:val="002E1694"/>
    <w:rsid w:val="002E315A"/>
    <w:rsid w:val="00301D92"/>
    <w:rsid w:val="00330BDC"/>
    <w:rsid w:val="00337D6F"/>
    <w:rsid w:val="00345F5B"/>
    <w:rsid w:val="00355EDB"/>
    <w:rsid w:val="00357514"/>
    <w:rsid w:val="00361CE5"/>
    <w:rsid w:val="00382427"/>
    <w:rsid w:val="003915BA"/>
    <w:rsid w:val="003C4397"/>
    <w:rsid w:val="003D1F73"/>
    <w:rsid w:val="00423DDF"/>
    <w:rsid w:val="00423E9C"/>
    <w:rsid w:val="00441607"/>
    <w:rsid w:val="00450879"/>
    <w:rsid w:val="00476C2C"/>
    <w:rsid w:val="004A4913"/>
    <w:rsid w:val="004B1481"/>
    <w:rsid w:val="004B4354"/>
    <w:rsid w:val="004D03FA"/>
    <w:rsid w:val="004D15E7"/>
    <w:rsid w:val="00521FA7"/>
    <w:rsid w:val="00525F51"/>
    <w:rsid w:val="00536A94"/>
    <w:rsid w:val="00537785"/>
    <w:rsid w:val="005456D1"/>
    <w:rsid w:val="00551D5D"/>
    <w:rsid w:val="005566D0"/>
    <w:rsid w:val="00560390"/>
    <w:rsid w:val="005900A2"/>
    <w:rsid w:val="00595598"/>
    <w:rsid w:val="005A1065"/>
    <w:rsid w:val="005B1CC1"/>
    <w:rsid w:val="005E19FD"/>
    <w:rsid w:val="005F2414"/>
    <w:rsid w:val="005F6D43"/>
    <w:rsid w:val="006359FF"/>
    <w:rsid w:val="00640DFC"/>
    <w:rsid w:val="00661F37"/>
    <w:rsid w:val="0066270A"/>
    <w:rsid w:val="00684986"/>
    <w:rsid w:val="00691F0F"/>
    <w:rsid w:val="006923C1"/>
    <w:rsid w:val="006B0C9A"/>
    <w:rsid w:val="006C3A54"/>
    <w:rsid w:val="006C3F94"/>
    <w:rsid w:val="006D189B"/>
    <w:rsid w:val="006E257D"/>
    <w:rsid w:val="0070203E"/>
    <w:rsid w:val="00710D4C"/>
    <w:rsid w:val="00737012"/>
    <w:rsid w:val="00741CF2"/>
    <w:rsid w:val="00742016"/>
    <w:rsid w:val="00764EA8"/>
    <w:rsid w:val="00785F12"/>
    <w:rsid w:val="007B171B"/>
    <w:rsid w:val="007B5658"/>
    <w:rsid w:val="007B71B7"/>
    <w:rsid w:val="007C4AF5"/>
    <w:rsid w:val="007C5316"/>
    <w:rsid w:val="007D187B"/>
    <w:rsid w:val="007D2008"/>
    <w:rsid w:val="007D5D32"/>
    <w:rsid w:val="007E29E8"/>
    <w:rsid w:val="007E3F12"/>
    <w:rsid w:val="007F08DC"/>
    <w:rsid w:val="00801A33"/>
    <w:rsid w:val="00802AD9"/>
    <w:rsid w:val="008264C8"/>
    <w:rsid w:val="00835DA0"/>
    <w:rsid w:val="00836065"/>
    <w:rsid w:val="00855EAA"/>
    <w:rsid w:val="00856C4E"/>
    <w:rsid w:val="00881A0F"/>
    <w:rsid w:val="008B203D"/>
    <w:rsid w:val="008C2E23"/>
    <w:rsid w:val="008E0615"/>
    <w:rsid w:val="008E0D23"/>
    <w:rsid w:val="008E2A6E"/>
    <w:rsid w:val="008E31C3"/>
    <w:rsid w:val="008E4A7F"/>
    <w:rsid w:val="00920060"/>
    <w:rsid w:val="0095070D"/>
    <w:rsid w:val="00970BD7"/>
    <w:rsid w:val="009919EE"/>
    <w:rsid w:val="009B429D"/>
    <w:rsid w:val="009E033E"/>
    <w:rsid w:val="00A00808"/>
    <w:rsid w:val="00A1789C"/>
    <w:rsid w:val="00A76C8C"/>
    <w:rsid w:val="00A76CA9"/>
    <w:rsid w:val="00A808A0"/>
    <w:rsid w:val="00AB4E3C"/>
    <w:rsid w:val="00AC6E05"/>
    <w:rsid w:val="00AE57F9"/>
    <w:rsid w:val="00AF2219"/>
    <w:rsid w:val="00AF3275"/>
    <w:rsid w:val="00B2656D"/>
    <w:rsid w:val="00B31456"/>
    <w:rsid w:val="00B34460"/>
    <w:rsid w:val="00B570E5"/>
    <w:rsid w:val="00B63989"/>
    <w:rsid w:val="00B913F0"/>
    <w:rsid w:val="00BA0E7D"/>
    <w:rsid w:val="00BA394B"/>
    <w:rsid w:val="00BB70D9"/>
    <w:rsid w:val="00BF2299"/>
    <w:rsid w:val="00C12E7C"/>
    <w:rsid w:val="00C34804"/>
    <w:rsid w:val="00C451DF"/>
    <w:rsid w:val="00C45B1B"/>
    <w:rsid w:val="00C5140D"/>
    <w:rsid w:val="00C744D0"/>
    <w:rsid w:val="00C773A0"/>
    <w:rsid w:val="00C81DDF"/>
    <w:rsid w:val="00C85804"/>
    <w:rsid w:val="00C87258"/>
    <w:rsid w:val="00CB336C"/>
    <w:rsid w:val="00CC0CB6"/>
    <w:rsid w:val="00CC232F"/>
    <w:rsid w:val="00CE0EC8"/>
    <w:rsid w:val="00CF6E3C"/>
    <w:rsid w:val="00D12E3C"/>
    <w:rsid w:val="00D20ECA"/>
    <w:rsid w:val="00D27555"/>
    <w:rsid w:val="00D30267"/>
    <w:rsid w:val="00D51D70"/>
    <w:rsid w:val="00D65C11"/>
    <w:rsid w:val="00D8430E"/>
    <w:rsid w:val="00DB1B78"/>
    <w:rsid w:val="00DC1971"/>
    <w:rsid w:val="00DC311B"/>
    <w:rsid w:val="00DE3E27"/>
    <w:rsid w:val="00E02DD5"/>
    <w:rsid w:val="00E0445D"/>
    <w:rsid w:val="00E35A93"/>
    <w:rsid w:val="00E46A71"/>
    <w:rsid w:val="00E60A3B"/>
    <w:rsid w:val="00E70E64"/>
    <w:rsid w:val="00EA0486"/>
    <w:rsid w:val="00EA372F"/>
    <w:rsid w:val="00EB60A6"/>
    <w:rsid w:val="00EE4808"/>
    <w:rsid w:val="00EF6D97"/>
    <w:rsid w:val="00F06F53"/>
    <w:rsid w:val="00F13E43"/>
    <w:rsid w:val="00F16EF0"/>
    <w:rsid w:val="00F26258"/>
    <w:rsid w:val="00F741B6"/>
    <w:rsid w:val="00F8639F"/>
    <w:rsid w:val="00F876D8"/>
    <w:rsid w:val="00F91284"/>
    <w:rsid w:val="00FA09F4"/>
    <w:rsid w:val="00FC1707"/>
    <w:rsid w:val="00FC2725"/>
    <w:rsid w:val="00FD1F81"/>
    <w:rsid w:val="00FE321E"/>
    <w:rsid w:val="00FE3E78"/>
    <w:rsid w:val="00FF5D92"/>
    <w:rsid w:val="07DF6EC4"/>
    <w:rsid w:val="08EF117E"/>
    <w:rsid w:val="0DC8754A"/>
    <w:rsid w:val="0FD3365B"/>
    <w:rsid w:val="106D53FC"/>
    <w:rsid w:val="1139444A"/>
    <w:rsid w:val="140F6EAA"/>
    <w:rsid w:val="16AA01C7"/>
    <w:rsid w:val="19507901"/>
    <w:rsid w:val="209033B2"/>
    <w:rsid w:val="20F6038C"/>
    <w:rsid w:val="23CC1481"/>
    <w:rsid w:val="26B52B4E"/>
    <w:rsid w:val="290F6532"/>
    <w:rsid w:val="310C1BEF"/>
    <w:rsid w:val="312B5682"/>
    <w:rsid w:val="31751986"/>
    <w:rsid w:val="31954ECB"/>
    <w:rsid w:val="33A14F31"/>
    <w:rsid w:val="34314577"/>
    <w:rsid w:val="3AC151B3"/>
    <w:rsid w:val="3CAE23FA"/>
    <w:rsid w:val="3EE9051E"/>
    <w:rsid w:val="3F037274"/>
    <w:rsid w:val="40004C46"/>
    <w:rsid w:val="43A47906"/>
    <w:rsid w:val="48146F59"/>
    <w:rsid w:val="48E82FCB"/>
    <w:rsid w:val="4A462E14"/>
    <w:rsid w:val="4A9B6CBB"/>
    <w:rsid w:val="4B3860FA"/>
    <w:rsid w:val="4D554862"/>
    <w:rsid w:val="4D64369F"/>
    <w:rsid w:val="4E3441C2"/>
    <w:rsid w:val="520C617A"/>
    <w:rsid w:val="56FF319D"/>
    <w:rsid w:val="593C4746"/>
    <w:rsid w:val="5BA729A4"/>
    <w:rsid w:val="5D5B2854"/>
    <w:rsid w:val="630D5D69"/>
    <w:rsid w:val="632F4B44"/>
    <w:rsid w:val="639761E1"/>
    <w:rsid w:val="671270A0"/>
    <w:rsid w:val="67D25852"/>
    <w:rsid w:val="6A6A1311"/>
    <w:rsid w:val="6C240F7A"/>
    <w:rsid w:val="6CD33CE0"/>
    <w:rsid w:val="748417FD"/>
    <w:rsid w:val="752C7C99"/>
    <w:rsid w:val="7A7B3DC6"/>
    <w:rsid w:val="7EA5215F"/>
    <w:rsid w:val="7FE17A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iPriority="99" w:semiHidden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/>
      <w:b/>
      <w:bCs/>
      <w:kern w:val="44"/>
      <w:sz w:val="48"/>
      <w:szCs w:val="48"/>
    </w:rPr>
  </w:style>
  <w:style w:type="paragraph" w:styleId="3">
    <w:name w:val="heading 3"/>
    <w:basedOn w:val="1"/>
    <w:next w:val="1"/>
    <w:link w:val="15"/>
    <w:qFormat/>
    <w:uiPriority w:val="99"/>
    <w:pPr>
      <w:spacing w:beforeAutospacing="1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2"/>
    <w:unhideWhenUsed/>
    <w:qFormat/>
    <w:locked/>
    <w:uiPriority w:val="99"/>
    <w:pPr>
      <w:jc w:val="left"/>
    </w:pPr>
  </w:style>
  <w:style w:type="paragraph" w:styleId="5">
    <w:name w:val="Date"/>
    <w:basedOn w:val="1"/>
    <w:next w:val="1"/>
    <w:link w:val="20"/>
    <w:qFormat/>
    <w:uiPriority w:val="99"/>
    <w:pPr>
      <w:ind w:left="100" w:leftChars="2500"/>
    </w:p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3"/>
    <w:semiHidden/>
    <w:unhideWhenUsed/>
    <w:qFormat/>
    <w:locked/>
    <w:uiPriority w:val="99"/>
    <w:rPr>
      <w:b/>
      <w:bCs/>
    </w:rPr>
  </w:style>
  <w:style w:type="table" w:styleId="10">
    <w:name w:val="Table Grid"/>
    <w:basedOn w:val="9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character" w:styleId="13">
    <w:name w:val="annotation reference"/>
    <w:semiHidden/>
    <w:unhideWhenUsed/>
    <w:qFormat/>
    <w:locked/>
    <w:uiPriority w:val="99"/>
    <w:rPr>
      <w:sz w:val="21"/>
      <w:szCs w:val="21"/>
    </w:rPr>
  </w:style>
  <w:style w:type="character" w:customStyle="1" w:styleId="14">
    <w:name w:val="标题 1 字符"/>
    <w:link w:val="2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15">
    <w:name w:val="标题 3 字符"/>
    <w:link w:val="3"/>
    <w:semiHidden/>
    <w:qFormat/>
    <w:locked/>
    <w:uiPriority w:val="99"/>
    <w:rPr>
      <w:rFonts w:ascii="Calibri" w:hAnsi="Calibri" w:cs="Times New Roman"/>
      <w:b/>
      <w:bCs/>
      <w:sz w:val="32"/>
      <w:szCs w:val="32"/>
    </w:rPr>
  </w:style>
  <w:style w:type="character" w:customStyle="1" w:styleId="16">
    <w:name w:val="页脚 字符"/>
    <w:link w:val="6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7">
    <w:name w:val="页眉 字符"/>
    <w:link w:val="7"/>
    <w:qFormat/>
    <w:locked/>
    <w:uiPriority w:val="99"/>
    <w:rPr>
      <w:rFonts w:cs="Times New Roman"/>
      <w:kern w:val="2"/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paragraph" w:customStyle="1" w:styleId="1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0">
    <w:name w:val="日期 字符"/>
    <w:link w:val="5"/>
    <w:qFormat/>
    <w:locked/>
    <w:uiPriority w:val="99"/>
    <w:rPr>
      <w:rFonts w:ascii="Calibri" w:hAnsi="Calibri" w:eastAsia="宋体" w:cs="Times New Roman"/>
      <w:kern w:val="2"/>
      <w:sz w:val="24"/>
      <w:szCs w:val="24"/>
    </w:rPr>
  </w:style>
  <w:style w:type="paragraph" w:customStyle="1" w:styleId="21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2">
    <w:name w:val="批注文字 字符"/>
    <w:link w:val="4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23">
    <w:name w:val="批注主题 字符"/>
    <w:link w:val="8"/>
    <w:semiHidden/>
    <w:qFormat/>
    <w:uiPriority w:val="99"/>
    <w:rPr>
      <w:rFonts w:ascii="Calibri" w:hAnsi="Calibri"/>
      <w:b/>
      <w:bCs/>
      <w:kern w:val="2"/>
      <w:sz w:val="21"/>
      <w:szCs w:val="24"/>
    </w:rPr>
  </w:style>
  <w:style w:type="paragraph" w:customStyle="1" w:styleId="24">
    <w:name w:val="修订2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37BA-D66F-49FF-8F9A-EA95733239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365</Words>
  <Characters>2085</Characters>
  <Lines>17</Lines>
  <Paragraphs>4</Paragraphs>
  <TotalTime>0</TotalTime>
  <ScaleCrop>false</ScaleCrop>
  <LinksUpToDate>false</LinksUpToDate>
  <CharactersWithSpaces>2446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2023-07-03T08:47:00Z</dcterms:created>
  <dc:creator>windows</dc:creator>
  <cp:lastModifiedBy>Lucky燕</cp:lastModifiedBy>
  <cp:lastPrinted>2023-07-15T03:39:00Z</cp:lastPrinted>
  <dcterms:modified xsi:type="dcterms:W3CDTF">2023-11-20T08:06:07Z</dcterms:modified>
  <dc:title>南通市中央创新区医学综合体商业配套区项目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A8FF3EAE1A1E479D9A0C77034182F350</vt:lpwstr>
  </property>
</Properties>
</file>