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管道疏通</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rFonts w:hint="eastAsia"/>
          <w:sz w:val="28"/>
          <w:szCs w:val="28"/>
          <w:highlight w:val="none"/>
        </w:rPr>
      </w:pPr>
    </w:p>
    <w:p>
      <w:pPr>
        <w:spacing w:line="360" w:lineRule="auto"/>
        <w:jc w:val="center"/>
        <w:rPr>
          <w:rFonts w:hint="eastAsia"/>
          <w:sz w:val="28"/>
          <w:szCs w:val="28"/>
          <w:highlight w:val="none"/>
          <w:u w:val="none"/>
          <w:lang w:eastAsia="zh-CN"/>
        </w:rPr>
      </w:pPr>
      <w:r>
        <w:rPr>
          <w:rFonts w:hint="eastAsia"/>
          <w:sz w:val="28"/>
          <w:szCs w:val="28"/>
          <w:highlight w:val="none"/>
          <w:lang w:val="en-US" w:eastAsia="zh-CN"/>
        </w:rPr>
        <w:t xml:space="preserve">    </w:t>
      </w: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管道疏通</w:t>
      </w:r>
      <w:r>
        <w:rPr>
          <w:rFonts w:hint="eastAsia"/>
          <w:sz w:val="28"/>
          <w:szCs w:val="28"/>
          <w:highlight w:val="none"/>
          <w:u w:val="none"/>
          <w:lang w:eastAsia="zh-CN"/>
        </w:rPr>
        <w:t>项目</w:t>
      </w:r>
    </w:p>
    <w:p>
      <w:pPr>
        <w:spacing w:line="360" w:lineRule="auto"/>
        <w:jc w:val="center"/>
        <w:rPr>
          <w:rFonts w:hint="eastAsia"/>
          <w:sz w:val="28"/>
          <w:szCs w:val="28"/>
          <w:highlight w:val="none"/>
        </w:rPr>
      </w:pPr>
    </w:p>
    <w:p>
      <w:pPr>
        <w:spacing w:line="360" w:lineRule="auto"/>
        <w:jc w:val="center"/>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8 </w:t>
      </w:r>
      <w:r>
        <w:rPr>
          <w:rFonts w:hint="eastAsia"/>
          <w:sz w:val="28"/>
          <w:szCs w:val="28"/>
          <w:highlight w:val="none"/>
        </w:rPr>
        <w:t>月</w:t>
      </w:r>
      <w:r>
        <w:rPr>
          <w:rFonts w:hint="eastAsia"/>
          <w:sz w:val="28"/>
          <w:szCs w:val="28"/>
          <w:highlight w:val="none"/>
          <w:lang w:val="en-US" w:eastAsia="zh-CN"/>
        </w:rPr>
        <w:t xml:space="preserve">  18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管道疏通</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管道疏通项目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spacing w:line="360" w:lineRule="auto"/>
        <w:rPr>
          <w:rFonts w:hint="eastAsia" w:ascii="宋体" w:hAnsi="宋体"/>
          <w:b/>
          <w:sz w:val="24"/>
          <w:szCs w:val="24"/>
          <w:highlight w:val="none"/>
          <w:lang w:val="en-US" w:eastAsia="zh-CN"/>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1</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1、将以下区域内地下所有化粪池进行清理，从南通滨江洲际酒店南北楼室外雨、污水管道到化粪池、隔油池全权负责。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2、定期对南通滨江洲际酒店南北楼室内、外雨水井、污水井、地下污水管道进行检查、疏通、清理、维护。</w:t>
      </w:r>
    </w:p>
    <w:p>
      <w:pPr>
        <w:numPr>
          <w:ilvl w:val="0"/>
          <w:numId w:val="0"/>
        </w:numPr>
        <w:rPr>
          <w:rFonts w:hint="eastAsia"/>
          <w:sz w:val="24"/>
          <w:szCs w:val="24"/>
          <w:lang w:val="en-US" w:eastAsia="zh-CN"/>
        </w:rPr>
      </w:pPr>
      <w:r>
        <w:rPr>
          <w:rFonts w:hint="eastAsia"/>
          <w:sz w:val="24"/>
          <w:szCs w:val="24"/>
          <w:lang w:val="en-US" w:eastAsia="zh-CN"/>
        </w:rPr>
        <w:t>3、工程内容</w:t>
      </w:r>
    </w:p>
    <w:p>
      <w:pPr>
        <w:numPr>
          <w:ilvl w:val="0"/>
          <w:numId w:val="0"/>
        </w:numPr>
        <w:jc w:val="center"/>
        <w:rPr>
          <w:rFonts w:hint="eastAsia"/>
          <w:sz w:val="28"/>
          <w:szCs w:val="28"/>
          <w:lang w:val="en-US" w:eastAsia="zh-CN"/>
        </w:rPr>
      </w:pPr>
      <w:r>
        <w:rPr>
          <w:rFonts w:hint="eastAsia"/>
          <w:sz w:val="28"/>
          <w:szCs w:val="28"/>
          <w:lang w:val="en-US" w:eastAsia="zh-CN"/>
        </w:rPr>
        <w:t>南通滨江洲际酒店（北楼）</w:t>
      </w:r>
    </w:p>
    <w:tbl>
      <w:tblPr>
        <w:tblStyle w:val="14"/>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834"/>
        <w:gridCol w:w="173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项目名称</w:t>
            </w:r>
          </w:p>
        </w:tc>
        <w:tc>
          <w:tcPr>
            <w:tcW w:w="1834"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数量</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清理频次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室外雨污水井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59</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室内污水井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室内污水净化设备</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污水管道</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900</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米</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化粪池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15m³*2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立方米</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隔油池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883"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12次/年</w:t>
            </w:r>
          </w:p>
        </w:tc>
      </w:tr>
    </w:tbl>
    <w:p>
      <w:pPr>
        <w:numPr>
          <w:ilvl w:val="0"/>
          <w:numId w:val="0"/>
        </w:numPr>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南楼</w:t>
      </w:r>
    </w:p>
    <w:tbl>
      <w:tblPr>
        <w:tblStyle w:val="14"/>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834"/>
        <w:gridCol w:w="17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项目名称</w:t>
            </w:r>
          </w:p>
        </w:tc>
        <w:tc>
          <w:tcPr>
            <w:tcW w:w="1834"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数量</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单位</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清理频次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室外污水井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17</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室外雨水井</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17</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套</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污水管道</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350</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米</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3次/年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化粪池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15m³*2</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立方米</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隔油池</w:t>
            </w:r>
          </w:p>
        </w:tc>
        <w:tc>
          <w:tcPr>
            <w:tcW w:w="1834"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5</w:t>
            </w:r>
          </w:p>
        </w:tc>
        <w:tc>
          <w:tcPr>
            <w:tcW w:w="1733"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t>个</w:t>
            </w:r>
          </w:p>
        </w:tc>
        <w:tc>
          <w:tcPr>
            <w:tcW w:w="1900"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4次/年</w:t>
            </w:r>
          </w:p>
        </w:tc>
      </w:tr>
    </w:tbl>
    <w:p>
      <w:pPr>
        <w:pStyle w:val="6"/>
        <w:rPr>
          <w:rFonts w:hint="default" w:ascii="宋体" w:hAnsi="宋体"/>
          <w:b/>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b/>
          <w:bCs/>
          <w:sz w:val="28"/>
          <w:szCs w:val="28"/>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1、保证按合同要求完成化粪池、隔油池、雨水井、污水井、集水井的清理何管道检查、疏通、清理工作，保证甲方的正常使用不受影响。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2、乙方在工程施工过程中，不得将污水流到地面，如不慎污染地面应立即清理。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3、乙方在工程施工期间，不得损坏南通滨江洲际酒店南北楼花草树木、车辆及其他设施，如有损坏，须照价赔偿。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4、乙方工作时必须遵守甲方各项管理规定，不得发生违反酒店管理规定的行为。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5、安全责任：乙方在施工过程中一定要自行做好安全措施和现场防护措施，特别要防止气体中毒和缺氧引起的人员伤亡事故，如若在工程作业过程中发生安全事故造成乙方人员或因乙方原因造成第三方人员伤亡，一切责任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6、除合同约定内容外，合同周期内义务对酒店雨水井及管道疏通一次。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b/>
          <w:bCs/>
          <w:sz w:val="28"/>
          <w:szCs w:val="28"/>
          <w:lang w:val="en-US" w:eastAsia="zh-CN"/>
        </w:rPr>
        <w:t>（3）施工质量：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1、正常情况下，每年用吸粪车和人工下池清理垃圾（含建筑垃圾、沙、石、油渣等）一次，小化粪池包含在内，各化粪池需将粪渣、垃圾清理干净直至见到清水。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2、所有雨水井、污水井及管道每月检查一次，将所检查情况书面报知管理处存案，并根据实际使用情况及时保养、疏通，保证所有井道时时通畅。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3、管道疏通程序：（1）人工下井清理雨水井、污水井的泥沙和垃圾一次；（2）用高压疏通车通管一次；（3）用消防水清管道一次；（4）人工下井将油渍和垃圾清理上井打包，废油须按国家政策、法规处理，发生问题自行负责，与甲方无关。且需告知甲方废油使用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清理出来的污物、垃圾用袋打包当天运走，并保证工完场清。所有施工内容凭施工验收单结算。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在承包期内，发生化粪池、管道堵塞等紧急情况，乙方保证全天候随叫随到，及时解决所发生的问题，乙方在接到甲方通知后，需2小时内到达。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sz w:val="24"/>
          <w:szCs w:val="24"/>
          <w:lang w:val="en-US" w:eastAsia="zh-CN"/>
        </w:rPr>
      </w:pPr>
      <w:r>
        <w:rPr>
          <w:rFonts w:hint="eastAsia"/>
          <w:sz w:val="24"/>
          <w:szCs w:val="24"/>
          <w:lang w:val="en-US" w:eastAsia="zh-CN"/>
        </w:rPr>
        <w:t>现场工作时需拍照，留存工作图片，任何一次现场工作后于当天出局相应的工作报告或运行建议书，有工程部相关负责人、工程总监（或运营总监）当日签字后有效，补签无效。</w:t>
      </w:r>
    </w:p>
    <w:p>
      <w:pPr>
        <w:pStyle w:val="6"/>
        <w:numPr>
          <w:ilvl w:val="0"/>
          <w:numId w:val="0"/>
        </w:numPr>
        <w:rPr>
          <w:rFonts w:hint="eastAsia"/>
          <w:color w:val="auto"/>
        </w:rPr>
      </w:pP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yellow"/>
          <w:u w:val="single"/>
        </w:rPr>
        <w:t>￥</w:t>
      </w:r>
      <w:r>
        <w:rPr>
          <w:rFonts w:hint="eastAsia" w:ascii="宋体" w:hAnsi="宋体" w:eastAsia="宋体"/>
          <w:b/>
          <w:bCs/>
          <w:sz w:val="22"/>
          <w:szCs w:val="22"/>
          <w:highlight w:val="yellow"/>
          <w:u w:val="single"/>
          <w:lang w:val="en-US" w:eastAsia="zh-CN"/>
        </w:rPr>
        <w:t xml:space="preserve"> 6.9</w:t>
      </w:r>
      <w:r>
        <w:rPr>
          <w:rFonts w:hint="eastAsia" w:ascii="宋体" w:hAnsi="宋体" w:eastAsia="宋体"/>
          <w:b/>
          <w:bCs/>
          <w:sz w:val="22"/>
          <w:szCs w:val="22"/>
          <w:highlight w:val="yellow"/>
          <w:u w:val="single"/>
        </w:rPr>
        <w:t>万元</w:t>
      </w:r>
      <w:r>
        <w:rPr>
          <w:rFonts w:hint="eastAsia" w:ascii="宋体" w:hAnsi="宋体" w:eastAsia="宋体"/>
          <w:sz w:val="22"/>
          <w:szCs w:val="22"/>
          <w:highlight w:val="none"/>
        </w:rPr>
        <w:t>。</w:t>
      </w:r>
    </w:p>
    <w:p>
      <w:pPr>
        <w:pStyle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3"/>
        <w:tblpPr w:leftFromText="180" w:rightFromText="180" w:vertAnchor="text" w:horzAnchor="page" w:tblpXSpec="center" w:tblpY="395"/>
        <w:tblOverlap w:val="never"/>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982"/>
        <w:gridCol w:w="56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9149" w:type="dxa"/>
            <w:gridSpan w:val="4"/>
            <w:vAlign w:val="center"/>
          </w:tcPr>
          <w:p>
            <w:pPr>
              <w:jc w:val="center"/>
              <w:rPr>
                <w:rFonts w:hint="default" w:ascii="宋体" w:hAnsi="宋体" w:cs="宋体" w:eastAsiaTheme="minorEastAsia"/>
                <w:b w:val="0"/>
                <w:bCs/>
                <w:sz w:val="21"/>
                <w:szCs w:val="21"/>
                <w:lang w:val="en-US" w:eastAsia="zh-CN"/>
              </w:rPr>
            </w:pPr>
            <w:r>
              <w:rPr>
                <w:rFonts w:hint="eastAsia" w:ascii="宋体" w:hAnsi="宋体" w:cs="宋体"/>
                <w:b/>
                <w:bCs w:val="0"/>
                <w:sz w:val="36"/>
                <w:szCs w:val="36"/>
                <w:lang w:val="en-US" w:eastAsia="zh-CN"/>
              </w:rPr>
              <w:t>技术分评分（40分）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序号</w:t>
            </w:r>
          </w:p>
        </w:tc>
        <w:tc>
          <w:tcPr>
            <w:tcW w:w="982" w:type="dxa"/>
            <w:vAlign w:val="center"/>
          </w:tcPr>
          <w:p>
            <w:pPr>
              <w:jc w:val="center"/>
              <w:rPr>
                <w:rFonts w:ascii="宋体" w:hAnsi="宋体" w:cs="宋体"/>
                <w:b w:val="0"/>
                <w:bCs/>
                <w:sz w:val="21"/>
                <w:szCs w:val="21"/>
              </w:rPr>
            </w:pPr>
            <w:r>
              <w:rPr>
                <w:rFonts w:hint="eastAsia" w:ascii="宋体" w:hAnsi="宋体" w:cs="宋体"/>
                <w:b w:val="0"/>
                <w:bCs/>
                <w:sz w:val="21"/>
                <w:szCs w:val="21"/>
              </w:rPr>
              <w:t>评分内容</w:t>
            </w:r>
          </w:p>
        </w:tc>
        <w:tc>
          <w:tcPr>
            <w:tcW w:w="567" w:type="dxa"/>
            <w:vAlign w:val="center"/>
          </w:tcPr>
          <w:p>
            <w:pPr>
              <w:jc w:val="center"/>
              <w:rPr>
                <w:rFonts w:ascii="宋体" w:hAnsi="宋体" w:cs="宋体"/>
                <w:b w:val="0"/>
                <w:bCs/>
                <w:sz w:val="21"/>
                <w:szCs w:val="21"/>
              </w:rPr>
            </w:pPr>
            <w:r>
              <w:rPr>
                <w:rFonts w:hint="eastAsia" w:ascii="宋体" w:hAnsi="宋体" w:cs="宋体"/>
                <w:b w:val="0"/>
                <w:bCs/>
                <w:sz w:val="21"/>
                <w:szCs w:val="21"/>
              </w:rPr>
              <w:t>分值范围</w:t>
            </w:r>
          </w:p>
        </w:tc>
        <w:tc>
          <w:tcPr>
            <w:tcW w:w="7017" w:type="dxa"/>
            <w:vAlign w:val="center"/>
          </w:tcPr>
          <w:p>
            <w:pPr>
              <w:jc w:val="center"/>
              <w:rPr>
                <w:rFonts w:ascii="宋体" w:hAnsi="宋体" w:cs="宋体"/>
                <w:b w:val="0"/>
                <w:bCs/>
                <w:sz w:val="21"/>
                <w:szCs w:val="21"/>
              </w:rPr>
            </w:pPr>
            <w:r>
              <w:rPr>
                <w:rFonts w:hint="eastAsia" w:ascii="宋体" w:hAnsi="宋体" w:cs="宋体"/>
                <w:b w:val="0"/>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5"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982" w:type="dxa"/>
            <w:vAlign w:val="center"/>
          </w:tcPr>
          <w:p>
            <w:pPr>
              <w:jc w:val="center"/>
              <w:rPr>
                <w:rFonts w:ascii="宋体" w:hAnsi="宋体" w:cs="宋体"/>
                <w:b w:val="0"/>
                <w:bCs/>
                <w:color w:val="auto"/>
                <w:sz w:val="21"/>
                <w:szCs w:val="21"/>
              </w:rPr>
            </w:pPr>
            <w:r>
              <w:rPr>
                <w:rFonts w:hint="eastAsia" w:ascii="宋体" w:hAnsi="宋体" w:eastAsia="宋体" w:cs="仿宋"/>
                <w:color w:val="auto"/>
                <w:szCs w:val="21"/>
                <w:lang w:val="en-US" w:eastAsia="zh-CN"/>
              </w:rPr>
              <w:t>企业综合实力</w:t>
            </w:r>
          </w:p>
        </w:tc>
        <w:tc>
          <w:tcPr>
            <w:tcW w:w="567" w:type="dxa"/>
            <w:vAlign w:val="center"/>
          </w:tcPr>
          <w:p>
            <w:pPr>
              <w:jc w:val="center"/>
              <w:rPr>
                <w:rFonts w:hint="default" w:ascii="宋体" w:hAnsi="宋体" w:eastAsia="宋体" w:cs="宋体"/>
                <w:b w:val="0"/>
                <w:bCs/>
                <w:color w:val="auto"/>
                <w:sz w:val="21"/>
                <w:szCs w:val="21"/>
                <w:lang w:val="en-US" w:eastAsia="zh-CN"/>
              </w:rPr>
            </w:pPr>
            <w:r>
              <w:rPr>
                <w:rFonts w:hint="eastAsia" w:ascii="宋体" w:hAnsi="宋体" w:eastAsia="宋体" w:cs="仿宋"/>
                <w:color w:val="auto"/>
                <w:szCs w:val="21"/>
                <w:lang w:val="en-US" w:eastAsia="zh-CN"/>
              </w:rPr>
              <w:t>5</w:t>
            </w:r>
            <w:r>
              <w:rPr>
                <w:rFonts w:hint="eastAsia" w:ascii="宋体" w:hAnsi="宋体" w:eastAsia="宋体" w:cs="仿宋"/>
                <w:color w:val="auto"/>
                <w:szCs w:val="21"/>
              </w:rPr>
              <w:t>分</w:t>
            </w:r>
          </w:p>
        </w:tc>
        <w:tc>
          <w:tcPr>
            <w:tcW w:w="7017" w:type="dxa"/>
            <w:vAlign w:val="center"/>
          </w:tcPr>
          <w:p>
            <w:pPr>
              <w:rPr>
                <w:rFonts w:hint="default" w:ascii="宋体" w:hAnsi="宋体" w:eastAsia="宋体" w:cs="仿宋"/>
                <w:color w:val="auto"/>
                <w:szCs w:val="21"/>
                <w:lang w:val="en-US" w:eastAsia="zh-CN"/>
              </w:rPr>
            </w:pPr>
            <w:r>
              <w:rPr>
                <w:rFonts w:hint="eastAsia" w:ascii="宋体" w:hAnsi="宋体" w:eastAsia="宋体" w:cs="宋体"/>
                <w:bCs/>
                <w:color w:val="auto"/>
                <w:szCs w:val="21"/>
                <w:lang w:val="en-US" w:eastAsia="zh-CN"/>
              </w:rPr>
              <w:t>投标人获得“化粪池管道疏通隔油池清理企业服务资质等级证书”一级，</w:t>
            </w:r>
            <w:r>
              <w:rPr>
                <w:rFonts w:hint="eastAsia" w:ascii="宋体" w:hAnsi="宋体" w:eastAsia="宋体" w:cs="仿宋"/>
                <w:color w:val="auto"/>
                <w:szCs w:val="21"/>
              </w:rPr>
              <w:t>得</w:t>
            </w:r>
            <w:r>
              <w:rPr>
                <w:rFonts w:hint="eastAsia" w:ascii="宋体" w:hAnsi="宋体" w:eastAsia="宋体" w:cs="仿宋"/>
                <w:color w:val="auto"/>
                <w:szCs w:val="21"/>
                <w:lang w:val="en-US" w:eastAsia="zh-CN"/>
              </w:rPr>
              <w:t>5</w:t>
            </w:r>
            <w:r>
              <w:rPr>
                <w:rFonts w:hint="eastAsia" w:ascii="宋体" w:hAnsi="宋体" w:eastAsia="宋体" w:cs="仿宋"/>
                <w:color w:val="auto"/>
                <w:szCs w:val="21"/>
              </w:rPr>
              <w:t>分</w:t>
            </w: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无法提供不得分。</w:t>
            </w:r>
          </w:p>
          <w:p>
            <w:pPr>
              <w:tabs>
                <w:tab w:val="center" w:pos="2618"/>
              </w:tabs>
              <w:rPr>
                <w:rFonts w:ascii="宋体" w:hAnsi="宋体" w:cs="宋体"/>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9"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2</w:t>
            </w:r>
          </w:p>
        </w:tc>
        <w:tc>
          <w:tcPr>
            <w:tcW w:w="982" w:type="dxa"/>
            <w:vAlign w:val="center"/>
          </w:tcPr>
          <w:p>
            <w:pPr>
              <w:jc w:val="center"/>
              <w:rPr>
                <w:rFonts w:ascii="宋体" w:hAnsi="宋体" w:cs="宋体" w:eastAsiaTheme="minorEastAsia"/>
                <w:b w:val="0"/>
                <w:bCs/>
                <w:color w:val="auto"/>
                <w:kern w:val="2"/>
                <w:sz w:val="21"/>
                <w:szCs w:val="21"/>
                <w:lang w:val="en-US" w:eastAsia="zh-CN" w:bidi="ar-SA"/>
              </w:rPr>
            </w:pPr>
            <w:r>
              <w:rPr>
                <w:rFonts w:hint="eastAsia" w:ascii="宋体" w:hAnsi="宋体" w:eastAsia="宋体" w:cs="仿宋"/>
                <w:color w:val="auto"/>
                <w:szCs w:val="21"/>
                <w:lang w:val="en-US" w:eastAsia="zh-CN"/>
              </w:rPr>
              <w:t>疏通设备车辆</w:t>
            </w:r>
          </w:p>
        </w:tc>
        <w:tc>
          <w:tcPr>
            <w:tcW w:w="567" w:type="dxa"/>
            <w:vAlign w:val="center"/>
          </w:tcPr>
          <w:p>
            <w:pPr>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仿宋"/>
                <w:color w:val="auto"/>
                <w:szCs w:val="21"/>
                <w:lang w:val="en-US" w:eastAsia="zh-CN"/>
              </w:rPr>
              <w:t>15分</w:t>
            </w:r>
          </w:p>
        </w:tc>
        <w:tc>
          <w:tcPr>
            <w:tcW w:w="7017"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提供疏通设备车辆的行驶证上标注车辆类型为：重型载货专项作业车的</w:t>
            </w:r>
            <w:r>
              <w:rPr>
                <w:rFonts w:hint="eastAsia"/>
                <w:color w:val="auto"/>
              </w:rPr>
              <w:t>，</w:t>
            </w:r>
            <w:r>
              <w:rPr>
                <w:rFonts w:hint="eastAsia"/>
                <w:color w:val="auto"/>
                <w:lang w:val="en-US" w:eastAsia="zh-CN"/>
              </w:rPr>
              <w:t>每提供一辆，得</w:t>
            </w:r>
            <w:r>
              <w:rPr>
                <w:rFonts w:hint="eastAsia"/>
                <w:color w:val="auto"/>
              </w:rPr>
              <w:t>5分</w:t>
            </w:r>
            <w:r>
              <w:rPr>
                <w:rFonts w:hint="eastAsia"/>
                <w:color w:val="auto"/>
                <w:lang w:eastAsia="zh-CN"/>
              </w:rPr>
              <w:t>，</w:t>
            </w:r>
            <w:r>
              <w:rPr>
                <w:rFonts w:hint="eastAsia"/>
                <w:color w:val="auto"/>
                <w:lang w:val="en-US" w:eastAsia="zh-CN"/>
              </w:rPr>
              <w:t>满分15分。</w:t>
            </w:r>
          </w:p>
          <w:p>
            <w:pPr>
              <w:pStyle w:val="4"/>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cs="宋体"/>
                <w:b w:val="0"/>
                <w:bCs/>
                <w:color w:val="auto"/>
                <w:sz w:val="21"/>
                <w:szCs w:val="21"/>
                <w:lang w:val="en-US" w:eastAsia="zh-CN"/>
              </w:rPr>
            </w:pPr>
            <w:r>
              <w:rPr>
                <w:rFonts w:hint="eastAsia" w:asciiTheme="minorHAnsi" w:hAnsiTheme="minorHAnsi" w:eastAsiaTheme="minorEastAsia" w:cstheme="minorBidi"/>
                <w:b w:val="0"/>
                <w:color w:val="auto"/>
                <w:kern w:val="2"/>
                <w:sz w:val="21"/>
                <w:szCs w:val="24"/>
                <w:lang w:val="en-US" w:eastAsia="zh-CN" w:bidi="ar-SA"/>
              </w:rPr>
              <w:t>（提供疏通设备车辆行驶证须注册在投标单位名下，否则不得分）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cs="宋体"/>
                <w:b w:val="0"/>
                <w:bCs/>
                <w:sz w:val="21"/>
                <w:szCs w:val="21"/>
                <w:lang w:val="en-US" w:eastAsia="zh-CN"/>
              </w:rPr>
            </w:pPr>
            <w:bookmarkStart w:id="0" w:name="_Hlk114480415"/>
            <w:r>
              <w:rPr>
                <w:rFonts w:hint="eastAsia" w:ascii="宋体" w:hAnsi="宋体" w:cs="宋体"/>
                <w:b w:val="0"/>
                <w:bCs/>
                <w:sz w:val="21"/>
                <w:szCs w:val="21"/>
                <w:lang w:val="en-US" w:eastAsia="zh-CN"/>
              </w:rPr>
              <w:t>3</w:t>
            </w:r>
          </w:p>
        </w:tc>
        <w:tc>
          <w:tcPr>
            <w:tcW w:w="982" w:type="dxa"/>
            <w:vAlign w:val="center"/>
          </w:tcPr>
          <w:p>
            <w:pPr>
              <w:jc w:val="center"/>
              <w:rPr>
                <w:rFonts w:hint="eastAsia" w:ascii="宋体" w:hAnsi="宋体" w:cs="宋体"/>
                <w:b w:val="0"/>
                <w:bCs/>
                <w:color w:val="auto"/>
                <w:sz w:val="21"/>
                <w:szCs w:val="21"/>
              </w:rPr>
            </w:pPr>
            <w:r>
              <w:rPr>
                <w:rFonts w:hint="eastAsia" w:ascii="宋体" w:hAnsi="宋体" w:eastAsia="宋体" w:cs="仿宋"/>
                <w:color w:val="auto"/>
                <w:szCs w:val="21"/>
                <w:lang w:val="en-US" w:eastAsia="zh-CN"/>
              </w:rPr>
              <w:t>业绩</w:t>
            </w:r>
            <w:r>
              <w:rPr>
                <w:rFonts w:hint="eastAsia" w:ascii="宋体" w:hAnsi="宋体" w:eastAsia="宋体" w:cs="仿宋"/>
                <w:color w:val="auto"/>
                <w:szCs w:val="21"/>
              </w:rPr>
              <w:t>案例</w:t>
            </w:r>
          </w:p>
        </w:tc>
        <w:tc>
          <w:tcPr>
            <w:tcW w:w="56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仿宋"/>
                <w:color w:val="auto"/>
                <w:szCs w:val="21"/>
                <w:lang w:val="en-US" w:eastAsia="zh-CN"/>
              </w:rPr>
              <w:t>10</w:t>
            </w:r>
            <w:r>
              <w:rPr>
                <w:rFonts w:hint="eastAsia" w:ascii="宋体" w:hAnsi="宋体" w:eastAsia="宋体" w:cs="仿宋"/>
                <w:color w:val="auto"/>
                <w:szCs w:val="21"/>
              </w:rPr>
              <w:t>分</w:t>
            </w:r>
          </w:p>
        </w:tc>
        <w:tc>
          <w:tcPr>
            <w:tcW w:w="7017" w:type="dxa"/>
            <w:vAlign w:val="center"/>
          </w:tcPr>
          <w:p>
            <w:pPr>
              <w:rPr>
                <w:rFonts w:hint="eastAsia" w:ascii="宋体" w:hAnsi="宋体" w:cs="宋体"/>
                <w:b w:val="0"/>
                <w:bCs/>
                <w:color w:val="auto"/>
                <w:sz w:val="21"/>
                <w:szCs w:val="21"/>
              </w:rPr>
            </w:pPr>
            <w:r>
              <w:rPr>
                <w:rFonts w:hint="eastAsia" w:ascii="宋体" w:hAnsi="宋体" w:eastAsia="宋体" w:cs="仿宋"/>
                <w:color w:val="auto"/>
                <w:szCs w:val="21"/>
              </w:rPr>
              <w:t>20</w:t>
            </w:r>
            <w:r>
              <w:rPr>
                <w:rFonts w:hint="eastAsia" w:ascii="宋体" w:hAnsi="宋体" w:eastAsia="宋体" w:cs="仿宋"/>
                <w:color w:val="auto"/>
                <w:szCs w:val="21"/>
                <w:lang w:val="en-US" w:eastAsia="zh-CN"/>
              </w:rPr>
              <w:t>20</w:t>
            </w:r>
            <w:r>
              <w:rPr>
                <w:rFonts w:hint="eastAsia" w:ascii="宋体" w:hAnsi="宋体" w:eastAsia="宋体" w:cs="仿宋"/>
                <w:color w:val="auto"/>
                <w:szCs w:val="21"/>
              </w:rPr>
              <w:t>年01月01日以来，投标人具有</w:t>
            </w:r>
            <w:r>
              <w:rPr>
                <w:rFonts w:hint="eastAsia" w:ascii="宋体" w:hAnsi="宋体" w:eastAsia="宋体" w:cs="仿宋"/>
                <w:color w:val="auto"/>
                <w:szCs w:val="21"/>
                <w:lang w:val="en-US" w:eastAsia="zh-CN"/>
              </w:rPr>
              <w:t>管道疏通处理</w:t>
            </w:r>
            <w:r>
              <w:rPr>
                <w:rFonts w:hint="eastAsia" w:ascii="宋体" w:hAnsi="宋体" w:eastAsia="宋体" w:cs="仿宋"/>
                <w:color w:val="auto"/>
                <w:szCs w:val="21"/>
              </w:rPr>
              <w:t>服务</w:t>
            </w:r>
            <w:r>
              <w:rPr>
                <w:rFonts w:hint="eastAsia" w:ascii="宋体" w:hAnsi="宋体" w:eastAsia="宋体" w:cs="仿宋"/>
                <w:color w:val="auto"/>
                <w:szCs w:val="21"/>
                <w:lang w:val="en-US" w:eastAsia="zh-CN"/>
              </w:rPr>
              <w:t>业绩</w:t>
            </w:r>
            <w:r>
              <w:rPr>
                <w:rFonts w:hint="eastAsia" w:ascii="宋体" w:hAnsi="宋体" w:eastAsia="宋体" w:cs="仿宋"/>
                <w:color w:val="auto"/>
                <w:szCs w:val="21"/>
              </w:rPr>
              <w:t>案例，总价超</w:t>
            </w:r>
            <w:r>
              <w:rPr>
                <w:rFonts w:hint="eastAsia" w:ascii="宋体" w:hAnsi="宋体" w:eastAsia="宋体" w:cs="仿宋"/>
                <w:color w:val="auto"/>
                <w:szCs w:val="21"/>
                <w:lang w:val="en-US" w:eastAsia="zh-CN"/>
              </w:rPr>
              <w:t>5</w:t>
            </w:r>
            <w:r>
              <w:rPr>
                <w:rFonts w:hint="eastAsia" w:ascii="宋体" w:hAnsi="宋体" w:eastAsia="宋体" w:cs="仿宋"/>
                <w:color w:val="auto"/>
                <w:szCs w:val="21"/>
              </w:rPr>
              <w:t>万（含</w:t>
            </w:r>
            <w:r>
              <w:rPr>
                <w:rFonts w:hint="eastAsia" w:ascii="宋体" w:hAnsi="宋体" w:eastAsia="宋体" w:cs="仿宋"/>
                <w:color w:val="auto"/>
                <w:szCs w:val="21"/>
                <w:lang w:val="en-US" w:eastAsia="zh-CN"/>
              </w:rPr>
              <w:t>5</w:t>
            </w:r>
            <w:r>
              <w:rPr>
                <w:rFonts w:hint="eastAsia" w:ascii="宋体" w:hAnsi="宋体" w:eastAsia="宋体" w:cs="仿宋"/>
                <w:color w:val="auto"/>
                <w:szCs w:val="21"/>
              </w:rPr>
              <w:t>万），每提供一份得</w:t>
            </w:r>
            <w:r>
              <w:rPr>
                <w:rFonts w:hint="eastAsia" w:ascii="宋体" w:hAnsi="宋体" w:eastAsia="宋体" w:cs="仿宋"/>
                <w:color w:val="auto"/>
                <w:szCs w:val="21"/>
                <w:lang w:val="en-US" w:eastAsia="zh-CN"/>
              </w:rPr>
              <w:t>2</w:t>
            </w:r>
            <w:r>
              <w:rPr>
                <w:rFonts w:hint="eastAsia" w:ascii="宋体" w:hAnsi="宋体" w:eastAsia="宋体" w:cs="仿宋"/>
                <w:color w:val="auto"/>
                <w:szCs w:val="21"/>
              </w:rPr>
              <w:t>分，满分</w:t>
            </w:r>
            <w:r>
              <w:rPr>
                <w:rFonts w:hint="eastAsia" w:ascii="宋体" w:hAnsi="宋体" w:eastAsia="宋体" w:cs="仿宋"/>
                <w:color w:val="auto"/>
                <w:szCs w:val="21"/>
                <w:lang w:val="en-US" w:eastAsia="zh-CN"/>
              </w:rPr>
              <w:t>10</w:t>
            </w:r>
            <w:r>
              <w:rPr>
                <w:rFonts w:hint="eastAsia" w:ascii="宋体" w:hAnsi="宋体" w:eastAsia="宋体" w:cs="仿宋"/>
                <w:color w:val="auto"/>
                <w:szCs w:val="21"/>
              </w:rPr>
              <w:t>分。（投标文件中需提供合同复印件。时间以合同签订日期为准）。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982" w:type="dxa"/>
            <w:vAlign w:val="center"/>
          </w:tcPr>
          <w:p>
            <w:pPr>
              <w:jc w:val="center"/>
              <w:rPr>
                <w:rFonts w:hint="default" w:ascii="宋体" w:hAnsi="宋体" w:cs="宋体" w:eastAsiaTheme="minorEastAsia"/>
                <w:b w:val="0"/>
                <w:bCs/>
                <w:color w:val="auto"/>
                <w:sz w:val="21"/>
                <w:szCs w:val="21"/>
                <w:lang w:val="en-US" w:eastAsia="zh-CN"/>
              </w:rPr>
            </w:pPr>
            <w:r>
              <w:rPr>
                <w:rFonts w:hint="eastAsia" w:ascii="宋体" w:hAnsi="宋体" w:cs="宋体"/>
                <w:b w:val="0"/>
                <w:bCs/>
                <w:color w:val="auto"/>
                <w:sz w:val="21"/>
                <w:szCs w:val="21"/>
                <w:lang w:val="en-US" w:eastAsia="zh-CN"/>
              </w:rPr>
              <w:t>维保服务响应及时性</w:t>
            </w:r>
          </w:p>
        </w:tc>
        <w:tc>
          <w:tcPr>
            <w:tcW w:w="567" w:type="dxa"/>
            <w:vAlign w:val="center"/>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10分</w:t>
            </w:r>
          </w:p>
        </w:tc>
        <w:tc>
          <w:tcPr>
            <w:tcW w:w="7017" w:type="dxa"/>
            <w:vAlign w:val="center"/>
          </w:tcPr>
          <w:p>
            <w:pPr>
              <w:pStyle w:val="6"/>
              <w:rPr>
                <w:rFonts w:hint="default" w:ascii="宋体" w:hAnsi="宋体" w:cs="宋体" w:eastAsiaTheme="minorEastAsia"/>
                <w:b w:val="0"/>
                <w:bCs/>
                <w:color w:val="auto"/>
                <w:sz w:val="21"/>
                <w:szCs w:val="21"/>
                <w:lang w:val="en-US" w:eastAsia="zh-CN"/>
              </w:rPr>
            </w:pPr>
            <w:r>
              <w:rPr>
                <w:rFonts w:hint="eastAsia" w:ascii="宋体" w:hAnsi="宋体" w:cs="宋体"/>
                <w:b w:val="0"/>
                <w:bCs/>
                <w:color w:val="auto"/>
                <w:sz w:val="21"/>
                <w:szCs w:val="21"/>
                <w:lang w:val="en-US" w:eastAsia="zh-CN"/>
              </w:rPr>
              <w:t>为保障维保需求，对投标人服务响应及时性进行评价：根据各投标人设立的机构或办事处（公司）至本项目服务地点的服务响应时间进行评分，各投标人承诺可在0.5小时内响应并从投标人公司派人到达招标人指定地点提供维保服务的得5分。在1小时内响应并从投标人公司派人到达招标人指定地点提供维保服务的得3分。在1小时以上响应并从投标人公司派人到达招标人指定地点提供维保服务的得1分.未按要求提供的不得分。（注：须提供各投标人设立机构或办事处（公司）注册地址的产权证明扫描件或租赁合同扫描件与投标人设立机构或办事处（公司）注册地址至采购人地址的百度或高德地图显示距离及到达时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5" w:hRule="atLeast"/>
          <w:jc w:val="center"/>
        </w:trPr>
        <w:tc>
          <w:tcPr>
            <w:tcW w:w="9149" w:type="dxa"/>
            <w:gridSpan w:val="4"/>
            <w:vAlign w:val="center"/>
          </w:tcPr>
          <w:p>
            <w:pPr>
              <w:pStyle w:val="6"/>
              <w:tabs>
                <w:tab w:val="left" w:pos="2580"/>
              </w:tabs>
              <w:jc w:val="center"/>
              <w:rPr>
                <w:rFonts w:hint="eastAsia" w:ascii="宋体" w:hAnsi="宋体" w:eastAsiaTheme="minorEastAsia"/>
                <w:sz w:val="22"/>
                <w:szCs w:val="21"/>
                <w:lang w:val="en-US" w:eastAsia="zh-CN"/>
              </w:rPr>
            </w:pPr>
            <w:r>
              <w:rPr>
                <w:rFonts w:hint="eastAsia" w:ascii="宋体" w:hAnsi="宋体"/>
                <w:b/>
                <w:bCs/>
                <w:sz w:val="36"/>
                <w:szCs w:val="32"/>
                <w:lang w:val="en-US" w:eastAsia="zh-CN"/>
              </w:rPr>
              <w:t>商务分评分（60分）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82" w:type="dxa"/>
            <w:vAlign w:val="center"/>
          </w:tcPr>
          <w:p>
            <w:pPr>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商务分</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w:t>
            </w:r>
          </w:p>
        </w:tc>
        <w:tc>
          <w:tcPr>
            <w:tcW w:w="7017" w:type="dxa"/>
            <w:vAlign w:val="center"/>
          </w:tcPr>
          <w:p>
            <w:pPr>
              <w:spacing w:line="320" w:lineRule="exact"/>
              <w:rPr>
                <w:rFonts w:hint="eastAsia" w:ascii="宋体" w:hAnsi="宋体"/>
                <w:sz w:val="22"/>
                <w:szCs w:val="21"/>
              </w:rPr>
            </w:pPr>
            <w:r>
              <w:rPr>
                <w:rFonts w:hint="eastAsia" w:ascii="宋体" w:hAnsi="宋体"/>
                <w:sz w:val="22"/>
                <w:szCs w:val="21"/>
              </w:rPr>
              <w:t>1、确定有效报价：投标报价低于招标控制价的投标报价为有效报价</w:t>
            </w:r>
          </w:p>
          <w:p>
            <w:pPr>
              <w:pStyle w:val="6"/>
              <w:tabs>
                <w:tab w:val="left" w:pos="2580"/>
              </w:tabs>
              <w:rPr>
                <w:rFonts w:hint="eastAsia" w:ascii="宋体" w:hAnsi="宋体"/>
                <w:sz w:val="22"/>
                <w:szCs w:val="21"/>
              </w:rPr>
            </w:pPr>
            <w:r>
              <w:rPr>
                <w:rFonts w:hint="eastAsia" w:ascii="宋体" w:hAnsi="宋体"/>
                <w:sz w:val="22"/>
                <w:szCs w:val="21"/>
              </w:rPr>
              <w:t>2、确定基准价：所有有效报价的算术平均值为评标基准价，投标报价等于评标基准价的得满分</w:t>
            </w:r>
            <w:r>
              <w:rPr>
                <w:rFonts w:hint="eastAsia" w:ascii="宋体" w:hAnsi="宋体"/>
                <w:sz w:val="22"/>
                <w:szCs w:val="21"/>
                <w:lang w:val="en-US" w:eastAsia="zh-CN"/>
              </w:rPr>
              <w:t>6</w:t>
            </w:r>
            <w:r>
              <w:rPr>
                <w:rFonts w:hint="eastAsia" w:ascii="宋体" w:hAnsi="宋体"/>
                <w:sz w:val="22"/>
                <w:szCs w:val="21"/>
              </w:rPr>
              <w:t>0分，各投标人的投标报价与评标基准价相比较，每上浮1%扣0.</w:t>
            </w:r>
            <w:r>
              <w:rPr>
                <w:rFonts w:hint="eastAsia" w:ascii="宋体" w:hAnsi="宋体"/>
                <w:sz w:val="22"/>
                <w:szCs w:val="21"/>
                <w:lang w:val="en-US" w:eastAsia="zh-CN"/>
              </w:rPr>
              <w:t>9</w:t>
            </w:r>
            <w:r>
              <w:rPr>
                <w:rFonts w:hint="eastAsia" w:ascii="宋体" w:hAnsi="宋体"/>
                <w:sz w:val="22"/>
                <w:szCs w:val="21"/>
              </w:rPr>
              <w:t>分，下浮1%扣0.</w:t>
            </w:r>
            <w:r>
              <w:rPr>
                <w:rFonts w:hint="eastAsia" w:ascii="宋体" w:hAnsi="宋体"/>
                <w:sz w:val="22"/>
                <w:szCs w:val="21"/>
                <w:lang w:val="en-US" w:eastAsia="zh-CN"/>
              </w:rPr>
              <w:t>6</w:t>
            </w:r>
            <w:r>
              <w:rPr>
                <w:rFonts w:hint="eastAsia" w:ascii="宋体" w:hAnsi="宋体"/>
                <w:sz w:val="22"/>
                <w:szCs w:val="21"/>
              </w:rPr>
              <w:t>分，不足1%的采用插入法，得分保留小数点后两位。</w:t>
            </w:r>
          </w:p>
        </w:tc>
      </w:tr>
      <w:bookmarkEnd w:id="0"/>
    </w:tbl>
    <w:p>
      <w:pPr>
        <w:pStyle w:val="28"/>
        <w:spacing w:line="360" w:lineRule="auto"/>
        <w:ind w:left="0" w:leftChars="0" w:firstLine="480"/>
        <w:rPr>
          <w:rFonts w:hint="eastAsia"/>
          <w:b w:val="0"/>
          <w:bCs/>
          <w:kern w:val="2"/>
          <w:sz w:val="21"/>
          <w:szCs w:val="21"/>
          <w:lang w:val="en-US" w:eastAsia="zh-CN"/>
        </w:rPr>
      </w:pPr>
    </w:p>
    <w:p>
      <w:pPr>
        <w:pStyle w:val="9"/>
        <w:rPr>
          <w:rFonts w:hint="default" w:ascii="宋体" w:hAnsi="宋体" w:eastAsia="宋体"/>
          <w:sz w:val="24"/>
          <w:szCs w:val="24"/>
          <w:highlight w:val="none"/>
          <w:lang w:val="en-US" w:eastAsia="zh-CN"/>
        </w:rPr>
      </w:pPr>
    </w:p>
    <w:p>
      <w:pPr>
        <w:numPr>
          <w:ilvl w:val="0"/>
          <w:numId w:val="2"/>
        </w:numPr>
        <w:spacing w:line="480" w:lineRule="exact"/>
        <w:ind w:left="150" w:leftChars="0" w:firstLine="480" w:firstLineChars="0"/>
        <w:rPr>
          <w:rFonts w:hint="eastAsia" w:asciiTheme="minorEastAsia" w:hAnsiTheme="minorEastAsia" w:eastAsiaTheme="minorEastAsia"/>
          <w:b w:val="0"/>
          <w:bCs w:val="0"/>
          <w:sz w:val="24"/>
          <w:szCs w:val="24"/>
          <w:highlight w:val="yellow"/>
        </w:rPr>
      </w:pP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1" w:name="_Toc423465999"/>
      <w:bookmarkStart w:id="2" w:name="_Toc425249095"/>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1"/>
      <w:bookmarkEnd w:id="2"/>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6、投标保证金付款凭证；</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6"/>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8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30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8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30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bookmarkStart w:id="3" w:name="_GoBack"/>
      <w:bookmarkEnd w:id="3"/>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管道疏通</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管道疏通</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4"/>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管道疏通</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管道疏通</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6"/>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9"/>
        <w:rPr>
          <w:rFonts w:asciiTheme="minorEastAsia" w:hAnsiTheme="minorEastAsia" w:eastAsiaTheme="minorEastAsia"/>
          <w:kern w:val="0"/>
          <w:sz w:val="28"/>
          <w:szCs w:val="20"/>
          <w:highlight w:val="none"/>
        </w:rPr>
      </w:pPr>
    </w:p>
    <w:p>
      <w:pPr>
        <w:pStyle w:val="9"/>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9"/>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7F6D"/>
    <w:multiLevelType w:val="singleLevel"/>
    <w:tmpl w:val="8C527F6D"/>
    <w:lvl w:ilvl="0" w:tentative="0">
      <w:start w:val="2"/>
      <w:numFmt w:val="decimal"/>
      <w:suff w:val="nothing"/>
      <w:lvlText w:val="%1、"/>
      <w:lvlJc w:val="left"/>
      <w:pPr>
        <w:ind w:left="150"/>
      </w:pPr>
    </w:lvl>
  </w:abstractNum>
  <w:abstractNum w:abstractNumId="1">
    <w:nsid w:val="C41906E2"/>
    <w:multiLevelType w:val="singleLevel"/>
    <w:tmpl w:val="C41906E2"/>
    <w:lvl w:ilvl="0" w:tentative="0">
      <w:start w:val="3"/>
      <w:numFmt w:val="chineseCounting"/>
      <w:suff w:val="nothing"/>
      <w:lvlText w:val="%1、"/>
      <w:lvlJc w:val="left"/>
      <w:rPr>
        <w:rFonts w:hint="eastAsia"/>
      </w:rPr>
    </w:lvl>
  </w:abstractNum>
  <w:abstractNum w:abstractNumId="2">
    <w:nsid w:val="E5B68351"/>
    <w:multiLevelType w:val="singleLevel"/>
    <w:tmpl w:val="E5B68351"/>
    <w:lvl w:ilvl="0" w:tentative="0">
      <w:start w:val="2"/>
      <w:numFmt w:val="chineseCounting"/>
      <w:suff w:val="nothing"/>
      <w:lvlText w:val="（%1）"/>
      <w:lvlJc w:val="left"/>
      <w:pPr>
        <w:ind w:left="150"/>
      </w:pPr>
      <w:rPr>
        <w:rFonts w:hint="eastAsia"/>
      </w:rPr>
    </w:lvl>
  </w:abstractNum>
  <w:abstractNum w:abstractNumId="3">
    <w:nsid w:val="F3952D2F"/>
    <w:multiLevelType w:val="singleLevel"/>
    <w:tmpl w:val="F3952D2F"/>
    <w:lvl w:ilvl="0" w:tentative="0">
      <w:start w:val="4"/>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3150010"/>
    <w:rsid w:val="03367A86"/>
    <w:rsid w:val="03434211"/>
    <w:rsid w:val="0349418E"/>
    <w:rsid w:val="03884130"/>
    <w:rsid w:val="0390015A"/>
    <w:rsid w:val="03B0747B"/>
    <w:rsid w:val="03C439AF"/>
    <w:rsid w:val="03D71AFF"/>
    <w:rsid w:val="041A0C8F"/>
    <w:rsid w:val="046D1D57"/>
    <w:rsid w:val="048015D5"/>
    <w:rsid w:val="04BE3D90"/>
    <w:rsid w:val="050312E6"/>
    <w:rsid w:val="05230D12"/>
    <w:rsid w:val="05606B64"/>
    <w:rsid w:val="056A1349"/>
    <w:rsid w:val="056C28AB"/>
    <w:rsid w:val="05973437"/>
    <w:rsid w:val="061E2E95"/>
    <w:rsid w:val="06D852FF"/>
    <w:rsid w:val="06DC5B77"/>
    <w:rsid w:val="06F040A3"/>
    <w:rsid w:val="07041C7C"/>
    <w:rsid w:val="071024A9"/>
    <w:rsid w:val="077202F8"/>
    <w:rsid w:val="07F369E3"/>
    <w:rsid w:val="08135F53"/>
    <w:rsid w:val="084861FD"/>
    <w:rsid w:val="08784FB1"/>
    <w:rsid w:val="08B3004C"/>
    <w:rsid w:val="0912519A"/>
    <w:rsid w:val="0A0D2237"/>
    <w:rsid w:val="0A590099"/>
    <w:rsid w:val="0A856C30"/>
    <w:rsid w:val="0A891D97"/>
    <w:rsid w:val="0C0257D6"/>
    <w:rsid w:val="0C373C5A"/>
    <w:rsid w:val="0D2B7710"/>
    <w:rsid w:val="0D436424"/>
    <w:rsid w:val="0D4870C2"/>
    <w:rsid w:val="0D7427FE"/>
    <w:rsid w:val="0D78723E"/>
    <w:rsid w:val="0DB61575"/>
    <w:rsid w:val="0E051AE4"/>
    <w:rsid w:val="0E4D0891"/>
    <w:rsid w:val="0E8122BC"/>
    <w:rsid w:val="0EAB583F"/>
    <w:rsid w:val="0EDC4786"/>
    <w:rsid w:val="0EE53584"/>
    <w:rsid w:val="0EE620AA"/>
    <w:rsid w:val="0EFD681D"/>
    <w:rsid w:val="0F3D5512"/>
    <w:rsid w:val="0F4260E1"/>
    <w:rsid w:val="0F60090A"/>
    <w:rsid w:val="0F99650A"/>
    <w:rsid w:val="0FB84D2A"/>
    <w:rsid w:val="0FCD7E91"/>
    <w:rsid w:val="0FE14BDA"/>
    <w:rsid w:val="1002493A"/>
    <w:rsid w:val="10523665"/>
    <w:rsid w:val="106C5F12"/>
    <w:rsid w:val="10AF05D3"/>
    <w:rsid w:val="11182823"/>
    <w:rsid w:val="11A75E53"/>
    <w:rsid w:val="11F71227"/>
    <w:rsid w:val="122E398A"/>
    <w:rsid w:val="1272617A"/>
    <w:rsid w:val="12801295"/>
    <w:rsid w:val="13193495"/>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213C48"/>
    <w:rsid w:val="187F17E9"/>
    <w:rsid w:val="18941805"/>
    <w:rsid w:val="18AE7B1E"/>
    <w:rsid w:val="18B30AEE"/>
    <w:rsid w:val="18C82795"/>
    <w:rsid w:val="1A8F5291"/>
    <w:rsid w:val="1A926929"/>
    <w:rsid w:val="1AA65D2A"/>
    <w:rsid w:val="1AE40441"/>
    <w:rsid w:val="1AE83095"/>
    <w:rsid w:val="1B2F31D4"/>
    <w:rsid w:val="1B820215"/>
    <w:rsid w:val="1B855CC2"/>
    <w:rsid w:val="1B8E19C5"/>
    <w:rsid w:val="1BD61A6E"/>
    <w:rsid w:val="1C4421BA"/>
    <w:rsid w:val="1C6E5FCF"/>
    <w:rsid w:val="1CEB56BA"/>
    <w:rsid w:val="1D1C5A95"/>
    <w:rsid w:val="1D521B1E"/>
    <w:rsid w:val="1D7303B8"/>
    <w:rsid w:val="1E0B2AF9"/>
    <w:rsid w:val="1E5A22DA"/>
    <w:rsid w:val="1EFC07C3"/>
    <w:rsid w:val="1F005C89"/>
    <w:rsid w:val="1F097398"/>
    <w:rsid w:val="1F742706"/>
    <w:rsid w:val="1F7635A0"/>
    <w:rsid w:val="1FBD2350"/>
    <w:rsid w:val="1FC365F5"/>
    <w:rsid w:val="1FDF5663"/>
    <w:rsid w:val="201F11FF"/>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60A7170"/>
    <w:rsid w:val="260D435E"/>
    <w:rsid w:val="267805BF"/>
    <w:rsid w:val="26B07746"/>
    <w:rsid w:val="26D30769"/>
    <w:rsid w:val="26E82628"/>
    <w:rsid w:val="26EE1BC2"/>
    <w:rsid w:val="26F75100"/>
    <w:rsid w:val="271E0AF9"/>
    <w:rsid w:val="271E135D"/>
    <w:rsid w:val="274517CA"/>
    <w:rsid w:val="27455109"/>
    <w:rsid w:val="27730977"/>
    <w:rsid w:val="27A631E5"/>
    <w:rsid w:val="27CD3C2E"/>
    <w:rsid w:val="27DE6CEA"/>
    <w:rsid w:val="282D6330"/>
    <w:rsid w:val="28365904"/>
    <w:rsid w:val="28555716"/>
    <w:rsid w:val="28DD43DD"/>
    <w:rsid w:val="29433888"/>
    <w:rsid w:val="29796FA2"/>
    <w:rsid w:val="29CB6173"/>
    <w:rsid w:val="29DA05BC"/>
    <w:rsid w:val="2A125857"/>
    <w:rsid w:val="2A274DBD"/>
    <w:rsid w:val="2A351FC9"/>
    <w:rsid w:val="2B5017D0"/>
    <w:rsid w:val="2B6547B6"/>
    <w:rsid w:val="2B6C55D5"/>
    <w:rsid w:val="2C1F57EB"/>
    <w:rsid w:val="2C287093"/>
    <w:rsid w:val="2C406C2D"/>
    <w:rsid w:val="2C9B039E"/>
    <w:rsid w:val="2CF905AF"/>
    <w:rsid w:val="2D4E26D8"/>
    <w:rsid w:val="2D951CB1"/>
    <w:rsid w:val="2DB529A4"/>
    <w:rsid w:val="2DBA2BDA"/>
    <w:rsid w:val="2EBB6C7E"/>
    <w:rsid w:val="3021395D"/>
    <w:rsid w:val="302E6B52"/>
    <w:rsid w:val="303B332C"/>
    <w:rsid w:val="309B4BAC"/>
    <w:rsid w:val="30AD0B0B"/>
    <w:rsid w:val="30AD5BD8"/>
    <w:rsid w:val="30BD5B90"/>
    <w:rsid w:val="30FF5561"/>
    <w:rsid w:val="31676BE5"/>
    <w:rsid w:val="31A6620E"/>
    <w:rsid w:val="31B01BE5"/>
    <w:rsid w:val="31F80D17"/>
    <w:rsid w:val="32432AB5"/>
    <w:rsid w:val="32DC279D"/>
    <w:rsid w:val="32E73FC4"/>
    <w:rsid w:val="33DD4C5E"/>
    <w:rsid w:val="340039C8"/>
    <w:rsid w:val="34087FEB"/>
    <w:rsid w:val="342B15C8"/>
    <w:rsid w:val="345C3C5B"/>
    <w:rsid w:val="348271B1"/>
    <w:rsid w:val="34A1676B"/>
    <w:rsid w:val="35305F1A"/>
    <w:rsid w:val="356F2847"/>
    <w:rsid w:val="357471B3"/>
    <w:rsid w:val="35C40913"/>
    <w:rsid w:val="36016185"/>
    <w:rsid w:val="365E7716"/>
    <w:rsid w:val="367414C5"/>
    <w:rsid w:val="367B21AF"/>
    <w:rsid w:val="36972799"/>
    <w:rsid w:val="376C137D"/>
    <w:rsid w:val="37801FED"/>
    <w:rsid w:val="378034E1"/>
    <w:rsid w:val="381B2009"/>
    <w:rsid w:val="384C2643"/>
    <w:rsid w:val="38694118"/>
    <w:rsid w:val="38EF2F8B"/>
    <w:rsid w:val="39715BCA"/>
    <w:rsid w:val="39E16CEA"/>
    <w:rsid w:val="39E65EB2"/>
    <w:rsid w:val="3A3C1B19"/>
    <w:rsid w:val="3A5A5B4C"/>
    <w:rsid w:val="3A707E9D"/>
    <w:rsid w:val="3AF476DA"/>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3A05672"/>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F0F7C"/>
    <w:rsid w:val="47E6537B"/>
    <w:rsid w:val="47EE06D0"/>
    <w:rsid w:val="48103DE7"/>
    <w:rsid w:val="48CC6A94"/>
    <w:rsid w:val="49280868"/>
    <w:rsid w:val="493A236B"/>
    <w:rsid w:val="493C7423"/>
    <w:rsid w:val="49B12923"/>
    <w:rsid w:val="49C22F2A"/>
    <w:rsid w:val="49D76984"/>
    <w:rsid w:val="4A0E7344"/>
    <w:rsid w:val="4AA800FB"/>
    <w:rsid w:val="4B243536"/>
    <w:rsid w:val="4B5D38AB"/>
    <w:rsid w:val="4C206459"/>
    <w:rsid w:val="4C3B5D13"/>
    <w:rsid w:val="4C5D48BB"/>
    <w:rsid w:val="4CC91DE2"/>
    <w:rsid w:val="4CFA592E"/>
    <w:rsid w:val="4D065F60"/>
    <w:rsid w:val="4D460E50"/>
    <w:rsid w:val="4D503DD0"/>
    <w:rsid w:val="4D7C7C5B"/>
    <w:rsid w:val="4D8B0521"/>
    <w:rsid w:val="4E93508B"/>
    <w:rsid w:val="4EA677AA"/>
    <w:rsid w:val="4EA74AD5"/>
    <w:rsid w:val="4EE41698"/>
    <w:rsid w:val="4EF17687"/>
    <w:rsid w:val="4F1C297B"/>
    <w:rsid w:val="4F2B05FE"/>
    <w:rsid w:val="506B7711"/>
    <w:rsid w:val="50F54D40"/>
    <w:rsid w:val="51422989"/>
    <w:rsid w:val="514B08B3"/>
    <w:rsid w:val="515040FB"/>
    <w:rsid w:val="515C51C4"/>
    <w:rsid w:val="516E081B"/>
    <w:rsid w:val="51C0122A"/>
    <w:rsid w:val="51DB4B2F"/>
    <w:rsid w:val="51FB1166"/>
    <w:rsid w:val="520A57F3"/>
    <w:rsid w:val="520D309A"/>
    <w:rsid w:val="52525EF7"/>
    <w:rsid w:val="52642D4A"/>
    <w:rsid w:val="5292601A"/>
    <w:rsid w:val="53503802"/>
    <w:rsid w:val="53B177DE"/>
    <w:rsid w:val="53B54338"/>
    <w:rsid w:val="53C4235B"/>
    <w:rsid w:val="54115C7D"/>
    <w:rsid w:val="549C4E11"/>
    <w:rsid w:val="5500558D"/>
    <w:rsid w:val="5502245D"/>
    <w:rsid w:val="552B5E58"/>
    <w:rsid w:val="55AC5BAC"/>
    <w:rsid w:val="55F95758"/>
    <w:rsid w:val="566429C6"/>
    <w:rsid w:val="571C5DFB"/>
    <w:rsid w:val="574E17BF"/>
    <w:rsid w:val="57BB201A"/>
    <w:rsid w:val="57D869BC"/>
    <w:rsid w:val="57DE6F09"/>
    <w:rsid w:val="589565BD"/>
    <w:rsid w:val="58E80EDC"/>
    <w:rsid w:val="597345C7"/>
    <w:rsid w:val="59E65E5D"/>
    <w:rsid w:val="5A187799"/>
    <w:rsid w:val="5AAE5A18"/>
    <w:rsid w:val="5ACC308A"/>
    <w:rsid w:val="5AE900E2"/>
    <w:rsid w:val="5B0A31F7"/>
    <w:rsid w:val="5B280EA8"/>
    <w:rsid w:val="5B7756EE"/>
    <w:rsid w:val="5C1979D0"/>
    <w:rsid w:val="5C905C5B"/>
    <w:rsid w:val="5CB52F1B"/>
    <w:rsid w:val="5D012C7D"/>
    <w:rsid w:val="5D4F3105"/>
    <w:rsid w:val="5D88711C"/>
    <w:rsid w:val="5D8F19D7"/>
    <w:rsid w:val="5E9E6153"/>
    <w:rsid w:val="5F3C78DD"/>
    <w:rsid w:val="5F4A40D7"/>
    <w:rsid w:val="5F69598C"/>
    <w:rsid w:val="5FE332FB"/>
    <w:rsid w:val="607E3094"/>
    <w:rsid w:val="60B75DDE"/>
    <w:rsid w:val="60BE4FE7"/>
    <w:rsid w:val="60E27AA8"/>
    <w:rsid w:val="60F6765D"/>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1506D2"/>
    <w:rsid w:val="65367B60"/>
    <w:rsid w:val="65A278FC"/>
    <w:rsid w:val="65CA6060"/>
    <w:rsid w:val="660268CD"/>
    <w:rsid w:val="66A56C29"/>
    <w:rsid w:val="66B371D4"/>
    <w:rsid w:val="66C37535"/>
    <w:rsid w:val="680717F3"/>
    <w:rsid w:val="682F1ACF"/>
    <w:rsid w:val="68574053"/>
    <w:rsid w:val="688B4EF9"/>
    <w:rsid w:val="68DF5DD6"/>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76D8A"/>
    <w:rsid w:val="702B14E6"/>
    <w:rsid w:val="70BE737E"/>
    <w:rsid w:val="70C44612"/>
    <w:rsid w:val="717F10F4"/>
    <w:rsid w:val="718D4783"/>
    <w:rsid w:val="719D6E74"/>
    <w:rsid w:val="71BA461C"/>
    <w:rsid w:val="71F13376"/>
    <w:rsid w:val="7215163A"/>
    <w:rsid w:val="726A0820"/>
    <w:rsid w:val="72F2709B"/>
    <w:rsid w:val="72F7346D"/>
    <w:rsid w:val="730A718B"/>
    <w:rsid w:val="732E1E62"/>
    <w:rsid w:val="736F1136"/>
    <w:rsid w:val="73AB533D"/>
    <w:rsid w:val="73EE3506"/>
    <w:rsid w:val="74035473"/>
    <w:rsid w:val="741D2E7E"/>
    <w:rsid w:val="742142D2"/>
    <w:rsid w:val="74265207"/>
    <w:rsid w:val="74487A2A"/>
    <w:rsid w:val="748E6692"/>
    <w:rsid w:val="74A46CC4"/>
    <w:rsid w:val="74A9368D"/>
    <w:rsid w:val="74B10C4E"/>
    <w:rsid w:val="74FB6BA8"/>
    <w:rsid w:val="754D3DC6"/>
    <w:rsid w:val="76BE2504"/>
    <w:rsid w:val="76D877A5"/>
    <w:rsid w:val="776039FA"/>
    <w:rsid w:val="778426EF"/>
    <w:rsid w:val="77985985"/>
    <w:rsid w:val="77C54F50"/>
    <w:rsid w:val="77DD088D"/>
    <w:rsid w:val="78686335"/>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CA14D9A"/>
    <w:rsid w:val="7D205032"/>
    <w:rsid w:val="7D2B151D"/>
    <w:rsid w:val="7D5F6DF7"/>
    <w:rsid w:val="7ED30E55"/>
    <w:rsid w:val="7F1F1D47"/>
    <w:rsid w:val="7FA46EC7"/>
    <w:rsid w:val="7FCF6098"/>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8</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2023-08-18T09:25:31Z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