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15号楼104室房屋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bookmarkStart w:id="0" w:name="_GoBack"/>
      <w:bookmarkEnd w:id="0"/>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七</w:t>
      </w:r>
      <w:r>
        <w:rPr>
          <w:rFonts w:hint="eastAsia" w:hAnsi="宋体"/>
          <w:b/>
          <w:bCs/>
          <w:sz w:val="30"/>
          <w:szCs w:val="30"/>
          <w:highlight w:val="none"/>
        </w:rPr>
        <w:t>月</w:t>
      </w:r>
      <w:r>
        <w:rPr>
          <w:rFonts w:hint="eastAsia" w:hAnsi="宋体"/>
          <w:b/>
          <w:bCs/>
          <w:sz w:val="30"/>
          <w:szCs w:val="30"/>
          <w:highlight w:val="none"/>
          <w:lang w:eastAsia="zh-CN"/>
        </w:rPr>
        <w:t>二十六</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15号楼104室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58号15号楼104室，</w:t>
      </w:r>
      <w:r>
        <w:rPr>
          <w:rFonts w:hint="eastAsia"/>
          <w:kern w:val="0"/>
          <w:sz w:val="24"/>
          <w:highlight w:val="none"/>
        </w:rPr>
        <w:t>面积</w:t>
      </w:r>
      <w:r>
        <w:rPr>
          <w:rFonts w:hint="eastAsia"/>
          <w:kern w:val="0"/>
          <w:sz w:val="24"/>
          <w:highlight w:val="none"/>
          <w:lang w:val="en-US" w:eastAsia="zh-CN"/>
        </w:rPr>
        <w:t>154.74</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报名截止时间：2023年</w:t>
      </w:r>
      <w:r>
        <w:rPr>
          <w:rFonts w:hint="eastAsia"/>
          <w:kern w:val="0"/>
          <w:sz w:val="24"/>
          <w:highlight w:val="none"/>
          <w:lang w:val="en-US" w:eastAsia="zh-CN"/>
        </w:rPr>
        <w:t>07</w:t>
      </w:r>
      <w:r>
        <w:rPr>
          <w:rFonts w:hint="eastAsia"/>
          <w:kern w:val="0"/>
          <w:sz w:val="24"/>
          <w:highlight w:val="none"/>
        </w:rPr>
        <w:t>月</w:t>
      </w:r>
      <w:r>
        <w:rPr>
          <w:rFonts w:hint="eastAsia"/>
          <w:kern w:val="0"/>
          <w:sz w:val="24"/>
          <w:highlight w:val="none"/>
          <w:lang w:val="en-US" w:eastAsia="zh-CN"/>
        </w:rPr>
        <w:t>31</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15号楼104室房屋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十里蓝院15号楼104室</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154.74㎡</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21600元/年</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4623.63元/年</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07</w:t>
      </w:r>
      <w:r>
        <w:rPr>
          <w:rFonts w:hint="eastAsia" w:hAnsi="宋体"/>
          <w:b/>
          <w:bCs/>
          <w:sz w:val="24"/>
          <w:szCs w:val="24"/>
          <w:highlight w:val="none"/>
          <w:u w:val="single"/>
        </w:rPr>
        <w:t>月</w:t>
      </w:r>
      <w:r>
        <w:rPr>
          <w:rFonts w:hint="eastAsia"/>
          <w:b/>
          <w:bCs/>
          <w:sz w:val="24"/>
          <w:szCs w:val="24"/>
          <w:highlight w:val="none"/>
          <w:u w:val="single"/>
          <w:lang w:val="en-US" w:eastAsia="zh-CN"/>
        </w:rPr>
        <w:t>31</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07</w:t>
      </w:r>
      <w:r>
        <w:rPr>
          <w:rFonts w:hint="eastAsia" w:hAnsi="宋体"/>
          <w:b/>
          <w:bCs/>
          <w:sz w:val="24"/>
          <w:szCs w:val="24"/>
          <w:highlight w:val="none"/>
          <w:u w:val="single"/>
        </w:rPr>
        <w:t>月</w:t>
      </w:r>
      <w:r>
        <w:rPr>
          <w:rFonts w:hint="eastAsia"/>
          <w:b/>
          <w:bCs/>
          <w:sz w:val="24"/>
          <w:szCs w:val="24"/>
          <w:highlight w:val="none"/>
          <w:u w:val="single"/>
          <w:lang w:val="en-US" w:eastAsia="zh-CN"/>
        </w:rPr>
        <w:t>31</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15号楼104</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15号楼104室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15号楼104室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15号楼104室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EA7C4C"/>
    <w:rsid w:val="1E680977"/>
    <w:rsid w:val="209854B7"/>
    <w:rsid w:val="23BF161C"/>
    <w:rsid w:val="23FD49CA"/>
    <w:rsid w:val="2A27712F"/>
    <w:rsid w:val="2B2C7D6B"/>
    <w:rsid w:val="3CE55188"/>
    <w:rsid w:val="42E05AEE"/>
    <w:rsid w:val="551C6263"/>
    <w:rsid w:val="554747DA"/>
    <w:rsid w:val="55A35789"/>
    <w:rsid w:val="5E6F6B50"/>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5</TotalTime>
  <ScaleCrop>false</ScaleCrop>
  <LinksUpToDate>false</LinksUpToDate>
  <CharactersWithSpaces>6204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2023-07-25T03:29:35Z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74741D394DCE45BFB10A081AB9C78C25_13</vt:lpwstr>
  </property>
</Properties>
</file>