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655"/>
        </w:tabs>
        <w:ind w:right="-1291" w:rightChars="-615"/>
        <w:jc w:val="center"/>
        <w:rPr>
          <w:b/>
          <w:bCs/>
          <w:color w:val="auto"/>
          <w:sz w:val="48"/>
          <w:szCs w:val="48"/>
          <w:highlight w:val="none"/>
        </w:rPr>
      </w:pPr>
      <w:r>
        <w:rPr>
          <w:rFonts w:hint="eastAsia"/>
          <w:b/>
          <w:bCs/>
          <w:color w:val="auto"/>
          <w:sz w:val="48"/>
          <w:szCs w:val="48"/>
          <w:highlight w:val="none"/>
        </w:rPr>
        <w:tab/>
      </w:r>
    </w:p>
    <w:p>
      <w:pPr>
        <w:jc w:val="center"/>
        <w:rPr>
          <w:b/>
          <w:bCs/>
          <w:color w:val="auto"/>
          <w:sz w:val="44"/>
          <w:szCs w:val="44"/>
          <w:highlight w:val="none"/>
        </w:rPr>
      </w:pPr>
      <w:r>
        <w:rPr>
          <w:rFonts w:hint="eastAsia"/>
          <w:b/>
          <w:bCs/>
          <w:color w:val="auto"/>
          <w:sz w:val="44"/>
          <w:szCs w:val="44"/>
          <w:highlight w:val="none"/>
        </w:rPr>
        <w:t>东灶港站物流配套项目甲供土方运输项目</w:t>
      </w:r>
    </w:p>
    <w:p>
      <w:pPr>
        <w:jc w:val="center"/>
        <w:rPr>
          <w:b/>
          <w:bCs/>
          <w:color w:val="auto"/>
          <w:sz w:val="44"/>
          <w:szCs w:val="44"/>
          <w:highlight w:val="none"/>
        </w:rPr>
      </w:pPr>
      <w:r>
        <w:rPr>
          <w:rFonts w:hint="eastAsia"/>
          <w:b/>
          <w:bCs/>
          <w:color w:val="auto"/>
          <w:sz w:val="44"/>
          <w:szCs w:val="44"/>
          <w:highlight w:val="none"/>
        </w:rPr>
        <w:t>2021TFYS标段</w:t>
      </w:r>
    </w:p>
    <w:p>
      <w:pPr>
        <w:rPr>
          <w:b/>
          <w:bCs/>
          <w:snapToGrid w:val="0"/>
          <w:color w:val="auto"/>
          <w:kern w:val="0"/>
          <w:sz w:val="44"/>
          <w:szCs w:val="44"/>
          <w:highlight w:val="none"/>
        </w:rPr>
      </w:pPr>
    </w:p>
    <w:p>
      <w:pPr>
        <w:rPr>
          <w:b/>
          <w:bCs/>
          <w:snapToGrid w:val="0"/>
          <w:color w:val="auto"/>
          <w:kern w:val="0"/>
          <w:sz w:val="44"/>
          <w:szCs w:val="44"/>
          <w:highlight w:val="none"/>
        </w:rPr>
      </w:pPr>
    </w:p>
    <w:p>
      <w:pPr>
        <w:rPr>
          <w:b/>
          <w:bCs/>
          <w:snapToGrid w:val="0"/>
          <w:color w:val="auto"/>
          <w:kern w:val="0"/>
          <w:sz w:val="44"/>
          <w:szCs w:val="44"/>
          <w:highlight w:val="none"/>
        </w:rPr>
      </w:pPr>
    </w:p>
    <w:p>
      <w:pPr>
        <w:rPr>
          <w:b/>
          <w:bCs/>
          <w:snapToGrid w:val="0"/>
          <w:color w:val="auto"/>
          <w:kern w:val="0"/>
          <w:sz w:val="44"/>
          <w:szCs w:val="44"/>
          <w:highlight w:val="none"/>
        </w:rPr>
      </w:pPr>
    </w:p>
    <w:p>
      <w:pPr>
        <w:rPr>
          <w:b/>
          <w:bCs/>
          <w:snapToGrid w:val="0"/>
          <w:color w:val="auto"/>
          <w:kern w:val="0"/>
          <w:sz w:val="44"/>
          <w:szCs w:val="44"/>
          <w:highlight w:val="none"/>
        </w:rPr>
      </w:pPr>
    </w:p>
    <w:p>
      <w:pPr>
        <w:rPr>
          <w:b/>
          <w:bCs/>
          <w:snapToGrid w:val="0"/>
          <w:color w:val="auto"/>
          <w:kern w:val="0"/>
          <w:sz w:val="44"/>
          <w:szCs w:val="44"/>
          <w:highlight w:val="none"/>
        </w:rPr>
      </w:pPr>
    </w:p>
    <w:p>
      <w:pPr>
        <w:rPr>
          <w:b/>
          <w:bCs/>
          <w:snapToGrid w:val="0"/>
          <w:color w:val="auto"/>
          <w:kern w:val="0"/>
          <w:sz w:val="44"/>
          <w:szCs w:val="44"/>
          <w:highlight w:val="none"/>
        </w:rPr>
      </w:pPr>
    </w:p>
    <w:p>
      <w:pPr>
        <w:jc w:val="center"/>
        <w:rPr>
          <w:color w:val="auto"/>
          <w:spacing w:val="60"/>
          <w:sz w:val="84"/>
          <w:szCs w:val="84"/>
          <w:highlight w:val="none"/>
        </w:rPr>
      </w:pPr>
      <w:r>
        <w:rPr>
          <w:rFonts w:hint="eastAsia" w:cs="黑体"/>
          <w:color w:val="auto"/>
          <w:spacing w:val="60"/>
          <w:sz w:val="84"/>
          <w:szCs w:val="84"/>
          <w:highlight w:val="none"/>
        </w:rPr>
        <w:t>招标文件</w:t>
      </w:r>
    </w:p>
    <w:p>
      <w:pPr>
        <w:rPr>
          <w:b/>
          <w:bCs/>
          <w:color w:val="auto"/>
          <w:sz w:val="44"/>
          <w:szCs w:val="44"/>
          <w:highlight w:val="none"/>
        </w:rPr>
      </w:pPr>
    </w:p>
    <w:p>
      <w:pPr>
        <w:rPr>
          <w:b/>
          <w:bCs/>
          <w:snapToGrid w:val="0"/>
          <w:color w:val="auto"/>
          <w:kern w:val="0"/>
          <w:sz w:val="44"/>
          <w:szCs w:val="44"/>
          <w:highlight w:val="none"/>
        </w:rPr>
      </w:pPr>
    </w:p>
    <w:p>
      <w:pPr>
        <w:jc w:val="center"/>
        <w:rPr>
          <w:b/>
          <w:bCs/>
          <w:color w:val="auto"/>
          <w:sz w:val="44"/>
          <w:szCs w:val="44"/>
          <w:highlight w:val="none"/>
        </w:rPr>
      </w:pPr>
    </w:p>
    <w:p>
      <w:pPr>
        <w:jc w:val="center"/>
        <w:rPr>
          <w:b/>
          <w:bCs/>
          <w:color w:val="auto"/>
          <w:sz w:val="44"/>
          <w:szCs w:val="44"/>
          <w:highlight w:val="none"/>
        </w:rPr>
      </w:pPr>
    </w:p>
    <w:p>
      <w:pPr>
        <w:jc w:val="center"/>
        <w:rPr>
          <w:b/>
          <w:bCs/>
          <w:color w:val="auto"/>
          <w:sz w:val="44"/>
          <w:szCs w:val="44"/>
          <w:highlight w:val="none"/>
        </w:rPr>
      </w:pPr>
    </w:p>
    <w:p>
      <w:pPr>
        <w:rPr>
          <w:b/>
          <w:bCs/>
          <w:color w:val="auto"/>
          <w:sz w:val="44"/>
          <w:szCs w:val="44"/>
          <w:highlight w:val="none"/>
        </w:rPr>
      </w:pPr>
    </w:p>
    <w:p>
      <w:pPr>
        <w:rPr>
          <w:b/>
          <w:bCs/>
          <w:color w:val="auto"/>
          <w:sz w:val="44"/>
          <w:szCs w:val="44"/>
          <w:highlight w:val="none"/>
        </w:rPr>
      </w:pPr>
    </w:p>
    <w:p>
      <w:pPr>
        <w:rPr>
          <w:b/>
          <w:bCs/>
          <w:color w:val="auto"/>
          <w:sz w:val="44"/>
          <w:szCs w:val="44"/>
          <w:highlight w:val="none"/>
        </w:rPr>
      </w:pPr>
    </w:p>
    <w:p>
      <w:pPr>
        <w:rPr>
          <w:b/>
          <w:bCs/>
          <w:color w:val="auto"/>
          <w:sz w:val="44"/>
          <w:szCs w:val="44"/>
          <w:highlight w:val="none"/>
        </w:rPr>
      </w:pPr>
    </w:p>
    <w:tbl>
      <w:tblPr>
        <w:tblStyle w:val="51"/>
        <w:tblW w:w="8830" w:type="dxa"/>
        <w:jc w:val="center"/>
        <w:tblLayout w:type="fixed"/>
        <w:tblCellMar>
          <w:top w:w="0" w:type="dxa"/>
          <w:left w:w="108" w:type="dxa"/>
          <w:bottom w:w="0" w:type="dxa"/>
          <w:right w:w="108" w:type="dxa"/>
        </w:tblCellMar>
      </w:tblPr>
      <w:tblGrid>
        <w:gridCol w:w="2011"/>
        <w:gridCol w:w="6819"/>
      </w:tblGrid>
      <w:tr>
        <w:tblPrEx>
          <w:tblCellMar>
            <w:top w:w="0" w:type="dxa"/>
            <w:left w:w="108" w:type="dxa"/>
            <w:bottom w:w="0" w:type="dxa"/>
            <w:right w:w="108" w:type="dxa"/>
          </w:tblCellMar>
        </w:tblPrEx>
        <w:trPr>
          <w:trHeight w:val="566" w:hRule="atLeast"/>
          <w:jc w:val="center"/>
        </w:trPr>
        <w:tc>
          <w:tcPr>
            <w:tcW w:w="2011" w:type="dxa"/>
            <w:vAlign w:val="center"/>
          </w:tcPr>
          <w:p>
            <w:pPr>
              <w:jc w:val="distribute"/>
              <w:rPr>
                <w:b/>
                <w:bCs/>
                <w:color w:val="auto"/>
                <w:kern w:val="0"/>
                <w:sz w:val="36"/>
                <w:szCs w:val="36"/>
                <w:highlight w:val="none"/>
              </w:rPr>
            </w:pPr>
            <w:r>
              <w:rPr>
                <w:rFonts w:hint="eastAsia" w:cs="宋体"/>
                <w:b/>
                <w:bCs/>
                <w:color w:val="auto"/>
                <w:kern w:val="0"/>
                <w:sz w:val="36"/>
                <w:szCs w:val="36"/>
                <w:highlight w:val="none"/>
              </w:rPr>
              <w:t>招标人：</w:t>
            </w:r>
          </w:p>
        </w:tc>
        <w:tc>
          <w:tcPr>
            <w:tcW w:w="6819" w:type="dxa"/>
            <w:vAlign w:val="center"/>
          </w:tcPr>
          <w:p>
            <w:pPr>
              <w:jc w:val="distribute"/>
              <w:rPr>
                <w:b/>
                <w:bCs/>
                <w:color w:val="auto"/>
                <w:kern w:val="0"/>
                <w:sz w:val="36"/>
                <w:szCs w:val="36"/>
                <w:highlight w:val="none"/>
              </w:rPr>
            </w:pPr>
            <w:r>
              <w:rPr>
                <w:rFonts w:hint="eastAsia" w:cs="宋体"/>
                <w:b/>
                <w:bCs/>
                <w:color w:val="auto"/>
                <w:kern w:val="0"/>
                <w:sz w:val="36"/>
                <w:szCs w:val="36"/>
                <w:highlight w:val="none"/>
              </w:rPr>
              <w:t>南通洋吕铁路开发建设有限公司</w:t>
            </w:r>
          </w:p>
        </w:tc>
      </w:tr>
      <w:tr>
        <w:tblPrEx>
          <w:tblCellMar>
            <w:top w:w="0" w:type="dxa"/>
            <w:left w:w="108" w:type="dxa"/>
            <w:bottom w:w="0" w:type="dxa"/>
            <w:right w:w="108" w:type="dxa"/>
          </w:tblCellMar>
        </w:tblPrEx>
        <w:trPr>
          <w:trHeight w:val="610" w:hRule="atLeast"/>
          <w:jc w:val="center"/>
        </w:trPr>
        <w:tc>
          <w:tcPr>
            <w:tcW w:w="2011" w:type="dxa"/>
            <w:vAlign w:val="bottom"/>
          </w:tcPr>
          <w:p>
            <w:pPr>
              <w:jc w:val="distribute"/>
              <w:rPr>
                <w:b/>
                <w:bCs/>
                <w:color w:val="auto"/>
                <w:kern w:val="0"/>
                <w:sz w:val="36"/>
                <w:szCs w:val="36"/>
                <w:highlight w:val="none"/>
              </w:rPr>
            </w:pPr>
            <w:r>
              <w:rPr>
                <w:rFonts w:hint="eastAsia" w:cs="宋体"/>
                <w:b/>
                <w:bCs/>
                <w:color w:val="auto"/>
                <w:kern w:val="0"/>
                <w:sz w:val="36"/>
                <w:szCs w:val="36"/>
                <w:highlight w:val="none"/>
              </w:rPr>
              <w:t>招标代理：</w:t>
            </w:r>
          </w:p>
        </w:tc>
        <w:tc>
          <w:tcPr>
            <w:tcW w:w="6819" w:type="dxa"/>
            <w:vAlign w:val="bottom"/>
          </w:tcPr>
          <w:p>
            <w:pPr>
              <w:jc w:val="distribute"/>
              <w:rPr>
                <w:b/>
                <w:bCs/>
                <w:color w:val="auto"/>
                <w:kern w:val="0"/>
                <w:sz w:val="36"/>
                <w:szCs w:val="36"/>
                <w:highlight w:val="none"/>
              </w:rPr>
            </w:pPr>
            <w:r>
              <w:rPr>
                <w:rFonts w:hint="eastAsia" w:cs="宋体"/>
                <w:b/>
                <w:bCs/>
                <w:color w:val="auto"/>
                <w:kern w:val="0"/>
                <w:sz w:val="36"/>
                <w:szCs w:val="36"/>
                <w:highlight w:val="none"/>
              </w:rPr>
              <w:t>中诚工程建设管理（苏州）股份有限公司</w:t>
            </w:r>
          </w:p>
        </w:tc>
      </w:tr>
    </w:tbl>
    <w:p>
      <w:pPr>
        <w:spacing w:before="120" w:beforeLines="50"/>
        <w:jc w:val="center"/>
        <w:rPr>
          <w:b/>
          <w:bCs/>
          <w:color w:val="auto"/>
          <w:w w:val="98"/>
          <w:kern w:val="0"/>
          <w:sz w:val="30"/>
          <w:szCs w:val="30"/>
          <w:highlight w:val="none"/>
        </w:rPr>
      </w:pPr>
      <w:r>
        <w:rPr>
          <w:rFonts w:hint="eastAsia" w:cs="宋体"/>
          <w:b/>
          <w:bCs/>
          <w:color w:val="auto"/>
          <w:spacing w:val="40"/>
          <w:sz w:val="36"/>
          <w:szCs w:val="36"/>
          <w:highlight w:val="none"/>
        </w:rPr>
        <w:t>二〇二一年十一月</w:t>
      </w:r>
    </w:p>
    <w:p>
      <w:pPr>
        <w:widowControl/>
        <w:jc w:val="left"/>
        <w:rPr>
          <w:b/>
          <w:bCs/>
          <w:color w:val="auto"/>
          <w:w w:val="98"/>
          <w:kern w:val="0"/>
          <w:sz w:val="30"/>
          <w:szCs w:val="30"/>
          <w:highlight w:val="none"/>
        </w:rPr>
      </w:pPr>
      <w:r>
        <w:rPr>
          <w:b/>
          <w:bCs/>
          <w:color w:val="auto"/>
          <w:w w:val="98"/>
          <w:kern w:val="0"/>
          <w:sz w:val="30"/>
          <w:szCs w:val="30"/>
          <w:highlight w:val="none"/>
        </w:rPr>
        <w:br w:type="page"/>
      </w:r>
    </w:p>
    <w:p>
      <w:pPr>
        <w:jc w:val="center"/>
        <w:rPr>
          <w:rFonts w:cs="黑体"/>
          <w:color w:val="auto"/>
          <w:sz w:val="44"/>
          <w:szCs w:val="44"/>
          <w:highlight w:val="none"/>
        </w:rPr>
      </w:pPr>
      <w:bookmarkStart w:id="0" w:name="_Toc152042286"/>
      <w:bookmarkStart w:id="1" w:name="_Toc144974478"/>
      <w:r>
        <w:rPr>
          <w:rFonts w:hint="eastAsia" w:cs="黑体"/>
          <w:color w:val="auto"/>
          <w:sz w:val="44"/>
          <w:szCs w:val="44"/>
          <w:highlight w:val="none"/>
        </w:rPr>
        <w:t>目录</w:t>
      </w:r>
      <w:bookmarkEnd w:id="0"/>
      <w:bookmarkEnd w:id="1"/>
    </w:p>
    <w:sdt>
      <w:sdtPr>
        <w:rPr>
          <w:color w:val="auto"/>
          <w:highlight w:val="none"/>
        </w:rPr>
        <w:id w:val="147453172"/>
        <w:docPartObj>
          <w:docPartGallery w:val="Table of Contents"/>
          <w:docPartUnique/>
        </w:docPartObj>
      </w:sdtPr>
      <w:sdtEndPr>
        <w:rPr>
          <w:rFonts w:hint="eastAsia" w:cs="黑体"/>
          <w:color w:val="auto"/>
          <w:szCs w:val="44"/>
          <w:highlight w:val="none"/>
        </w:rPr>
      </w:sdtEndPr>
      <w:sdtContent>
        <w:p>
          <w:pPr>
            <w:rPr>
              <w:rFonts w:cs="黑体"/>
              <w:color w:val="auto"/>
              <w:szCs w:val="44"/>
              <w:highlight w:val="none"/>
            </w:rPr>
          </w:pPr>
          <w:r>
            <w:rPr>
              <w:rFonts w:hint="eastAsia" w:cs="黑体"/>
              <w:color w:val="auto"/>
              <w:sz w:val="44"/>
              <w:szCs w:val="44"/>
              <w:highlight w:val="none"/>
            </w:rPr>
            <w:fldChar w:fldCharType="begin"/>
          </w:r>
          <w:r>
            <w:rPr>
              <w:rFonts w:hint="eastAsia" w:cs="黑体"/>
              <w:color w:val="auto"/>
              <w:sz w:val="44"/>
              <w:szCs w:val="44"/>
              <w:highlight w:val="none"/>
            </w:rPr>
            <w:instrText xml:space="preserve">TOC \o "1-1" \h \u </w:instrText>
          </w:r>
          <w:r>
            <w:rPr>
              <w:rFonts w:hint="eastAsia" w:cs="黑体"/>
              <w:color w:val="auto"/>
              <w:sz w:val="44"/>
              <w:szCs w:val="44"/>
              <w:highlight w:val="none"/>
            </w:rPr>
            <w:fldChar w:fldCharType="separate"/>
          </w:r>
        </w:p>
        <w:p>
          <w:pPr>
            <w:pStyle w:val="36"/>
            <w:tabs>
              <w:tab w:val="right" w:leader="dot" w:pos="9060"/>
            </w:tabs>
            <w:rPr>
              <w:color w:val="auto"/>
              <w:highlight w:val="none"/>
            </w:rPr>
          </w:pPr>
          <w:r>
            <w:rPr>
              <w:color w:val="auto"/>
              <w:highlight w:val="none"/>
            </w:rPr>
            <w:fldChar w:fldCharType="begin"/>
          </w:r>
          <w:r>
            <w:rPr>
              <w:color w:val="auto"/>
              <w:highlight w:val="none"/>
            </w:rPr>
            <w:instrText xml:space="preserve"> HYPERLINK \l "_Toc25860" </w:instrText>
          </w:r>
          <w:r>
            <w:rPr>
              <w:color w:val="auto"/>
              <w:highlight w:val="none"/>
            </w:rPr>
            <w:fldChar w:fldCharType="separate"/>
          </w:r>
          <w:r>
            <w:rPr>
              <w:rFonts w:hint="eastAsia" w:cs="宋体"/>
              <w:color w:val="auto"/>
              <w:szCs w:val="32"/>
              <w:highlight w:val="none"/>
            </w:rPr>
            <w:t>第一章招标公告</w:t>
          </w:r>
          <w:r>
            <w:rPr>
              <w:color w:val="auto"/>
              <w:highlight w:val="none"/>
            </w:rPr>
            <w:tab/>
          </w:r>
          <w:r>
            <w:rPr>
              <w:rFonts w:hint="eastAsia"/>
              <w:color w:val="auto"/>
              <w:highlight w:val="none"/>
              <w:lang w:val="en-US" w:eastAsia="zh-CN"/>
            </w:rPr>
            <w:t>3</w:t>
          </w:r>
          <w:r>
            <w:rPr>
              <w:color w:val="auto"/>
              <w:highlight w:val="none"/>
            </w:rPr>
            <w:fldChar w:fldCharType="end"/>
          </w:r>
        </w:p>
        <w:p>
          <w:pPr>
            <w:pStyle w:val="36"/>
            <w:tabs>
              <w:tab w:val="right" w:leader="dot" w:pos="9060"/>
            </w:tabs>
            <w:rPr>
              <w:color w:val="auto"/>
              <w:highlight w:val="none"/>
            </w:rPr>
          </w:pPr>
          <w:r>
            <w:rPr>
              <w:color w:val="auto"/>
              <w:highlight w:val="none"/>
            </w:rPr>
            <w:fldChar w:fldCharType="begin"/>
          </w:r>
          <w:r>
            <w:rPr>
              <w:color w:val="auto"/>
              <w:highlight w:val="none"/>
            </w:rPr>
            <w:instrText xml:space="preserve"> HYPERLINK \l "_Toc5528" </w:instrText>
          </w:r>
          <w:r>
            <w:rPr>
              <w:color w:val="auto"/>
              <w:highlight w:val="none"/>
            </w:rPr>
            <w:fldChar w:fldCharType="separate"/>
          </w:r>
          <w:r>
            <w:rPr>
              <w:rFonts w:hint="eastAsia" w:cs="黑体"/>
              <w:color w:val="auto"/>
              <w:highlight w:val="none"/>
            </w:rPr>
            <w:t>第二章投标人须知</w:t>
          </w:r>
          <w:r>
            <w:rPr>
              <w:color w:val="auto"/>
              <w:highlight w:val="none"/>
            </w:rPr>
            <w:tab/>
          </w:r>
          <w:r>
            <w:rPr>
              <w:rFonts w:hint="eastAsia"/>
              <w:color w:val="auto"/>
              <w:highlight w:val="none"/>
              <w:lang w:val="en-US" w:eastAsia="zh-CN"/>
            </w:rPr>
            <w:t>6</w:t>
          </w:r>
          <w:r>
            <w:rPr>
              <w:color w:val="auto"/>
              <w:highlight w:val="none"/>
            </w:rPr>
            <w:fldChar w:fldCharType="end"/>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"_Toc20213" </w:instrText>
          </w:r>
          <w:r>
            <w:rPr>
              <w:color w:val="auto"/>
              <w:highlight w:val="none"/>
            </w:rPr>
            <w:fldChar w:fldCharType="separate"/>
          </w:r>
          <w:r>
            <w:rPr>
              <w:color w:val="auto"/>
              <w:szCs w:val="36"/>
              <w:highlight w:val="none"/>
            </w:rPr>
            <w:t>第三章评标办法</w:t>
          </w:r>
          <w:r>
            <w:rPr>
              <w:rFonts w:hint="eastAsia"/>
              <w:color w:val="auto"/>
              <w:szCs w:val="36"/>
              <w:highlight w:val="none"/>
            </w:rPr>
            <w:t>（技术评分最低标价法）</w:t>
          </w:r>
          <w:r>
            <w:rPr>
              <w:color w:val="auto"/>
              <w:highlight w:val="none"/>
            </w:rPr>
            <w:tab/>
          </w:r>
          <w:r>
            <w:rPr>
              <w:rFonts w:hint="eastAsia"/>
              <w:color w:val="auto"/>
              <w:highlight w:val="none"/>
              <w:lang w:val="en-US" w:eastAsia="zh-CN"/>
            </w:rPr>
            <w:t>3</w:t>
          </w:r>
          <w:r>
            <w:rPr>
              <w:color w:val="auto"/>
              <w:highlight w:val="none"/>
            </w:rPr>
            <w:fldChar w:fldCharType="end"/>
          </w:r>
          <w:r>
            <w:rPr>
              <w:rFonts w:hint="eastAsia"/>
              <w:color w:val="auto"/>
              <w:highlight w:val="none"/>
              <w:lang w:val="en-US" w:eastAsia="zh-CN"/>
            </w:rPr>
            <w:t>6</w:t>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"_Toc12613" </w:instrText>
          </w:r>
          <w:r>
            <w:rPr>
              <w:color w:val="auto"/>
              <w:highlight w:val="none"/>
            </w:rPr>
            <w:fldChar w:fldCharType="separate"/>
          </w:r>
          <w:r>
            <w:rPr>
              <w:rFonts w:hint="eastAsia" w:cs="黑体"/>
              <w:color w:val="auto"/>
              <w:szCs w:val="52"/>
              <w:highlight w:val="none"/>
            </w:rPr>
            <w:t>第四章合同条款及格式</w:t>
          </w:r>
          <w:r>
            <w:rPr>
              <w:color w:val="auto"/>
              <w:highlight w:val="none"/>
            </w:rPr>
            <w:tab/>
          </w:r>
          <w:r>
            <w:rPr>
              <w:rFonts w:hint="eastAsia"/>
              <w:color w:val="auto"/>
              <w:highlight w:val="none"/>
              <w:lang w:val="en-US" w:eastAsia="zh-CN"/>
            </w:rPr>
            <w:t>4</w:t>
          </w:r>
          <w:r>
            <w:rPr>
              <w:color w:val="auto"/>
              <w:highlight w:val="none"/>
            </w:rPr>
            <w:fldChar w:fldCharType="end"/>
          </w:r>
          <w:r>
            <w:rPr>
              <w:rFonts w:hint="eastAsia"/>
              <w:color w:val="auto"/>
              <w:highlight w:val="none"/>
              <w:lang w:val="en-US" w:eastAsia="zh-CN"/>
            </w:rPr>
            <w:t>4</w:t>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"_Toc557" </w:instrText>
          </w:r>
          <w:r>
            <w:rPr>
              <w:color w:val="auto"/>
              <w:highlight w:val="none"/>
            </w:rPr>
            <w:fldChar w:fldCharType="separate"/>
          </w:r>
          <w:r>
            <w:rPr>
              <w:rFonts w:hint="eastAsia" w:cs="黑体"/>
              <w:color w:val="auto"/>
              <w:szCs w:val="52"/>
              <w:highlight w:val="none"/>
            </w:rPr>
            <w:t>第五章工程量清单</w:t>
          </w:r>
          <w:r>
            <w:rPr>
              <w:color w:val="auto"/>
              <w:highlight w:val="none"/>
            </w:rPr>
            <w:tab/>
          </w:r>
          <w:r>
            <w:rPr>
              <w:rFonts w:hint="eastAsia"/>
              <w:color w:val="auto"/>
              <w:highlight w:val="none"/>
              <w:lang w:val="en-US" w:eastAsia="zh-CN"/>
            </w:rPr>
            <w:t>5</w:t>
          </w:r>
          <w:r>
            <w:rPr>
              <w:color w:val="auto"/>
              <w:highlight w:val="none"/>
            </w:rPr>
            <w:fldChar w:fldCharType="end"/>
          </w:r>
          <w:r>
            <w:rPr>
              <w:rFonts w:hint="eastAsia"/>
              <w:color w:val="auto"/>
              <w:highlight w:val="none"/>
              <w:lang w:val="en-US" w:eastAsia="zh-CN"/>
            </w:rPr>
            <w:t>5</w:t>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"_Toc13876" </w:instrText>
          </w:r>
          <w:r>
            <w:rPr>
              <w:color w:val="auto"/>
              <w:highlight w:val="none"/>
            </w:rPr>
            <w:fldChar w:fldCharType="separate"/>
          </w:r>
          <w:r>
            <w:rPr>
              <w:rFonts w:hint="eastAsia" w:cs="黑体"/>
              <w:color w:val="auto"/>
              <w:szCs w:val="52"/>
              <w:highlight w:val="none"/>
            </w:rPr>
            <w:t>第六章技术规范</w:t>
          </w:r>
          <w:r>
            <w:rPr>
              <w:color w:val="auto"/>
              <w:highlight w:val="none"/>
            </w:rPr>
            <w:tab/>
          </w:r>
          <w:r>
            <w:rPr>
              <w:rFonts w:hint="eastAsia"/>
              <w:color w:val="auto"/>
              <w:highlight w:val="none"/>
              <w:lang w:val="en-US" w:eastAsia="zh-CN"/>
            </w:rPr>
            <w:t>5</w:t>
          </w:r>
          <w:r>
            <w:rPr>
              <w:color w:val="auto"/>
              <w:highlight w:val="none"/>
            </w:rPr>
            <w:fldChar w:fldCharType="end"/>
          </w:r>
          <w:r>
            <w:rPr>
              <w:rFonts w:hint="eastAsia"/>
              <w:color w:val="auto"/>
              <w:highlight w:val="none"/>
              <w:lang w:val="en-US" w:eastAsia="zh-CN"/>
            </w:rPr>
            <w:t>6</w:t>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"_Toc12797" </w:instrText>
          </w:r>
          <w:r>
            <w:rPr>
              <w:color w:val="auto"/>
              <w:highlight w:val="none"/>
            </w:rPr>
            <w:fldChar w:fldCharType="separate"/>
          </w:r>
          <w:r>
            <w:rPr>
              <w:rFonts w:hint="eastAsia" w:cs="黑体"/>
              <w:color w:val="auto"/>
              <w:szCs w:val="52"/>
              <w:highlight w:val="none"/>
            </w:rPr>
            <w:t>第七章工程量清单计量规则</w:t>
          </w:r>
          <w:r>
            <w:rPr>
              <w:color w:val="auto"/>
              <w:highlight w:val="none"/>
            </w:rPr>
            <w:tab/>
          </w:r>
          <w:r>
            <w:rPr>
              <w:rFonts w:hint="eastAsia"/>
              <w:color w:val="auto"/>
              <w:highlight w:val="none"/>
              <w:lang w:val="en-US" w:eastAsia="zh-CN"/>
            </w:rPr>
            <w:t>5</w:t>
          </w:r>
          <w:r>
            <w:rPr>
              <w:color w:val="auto"/>
              <w:highlight w:val="none"/>
            </w:rPr>
            <w:fldChar w:fldCharType="end"/>
          </w:r>
          <w:r>
            <w:rPr>
              <w:rFonts w:hint="eastAsia"/>
              <w:color w:val="auto"/>
              <w:highlight w:val="none"/>
              <w:lang w:val="en-US" w:eastAsia="zh-CN"/>
            </w:rPr>
            <w:t>7</w:t>
          </w:r>
        </w:p>
        <w:p>
          <w:pPr>
            <w:pStyle w:val="36"/>
            <w:tabs>
              <w:tab w:val="right" w:leader="dot" w:pos="9060"/>
            </w:tabs>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"_Toc19750" </w:instrText>
          </w:r>
          <w:r>
            <w:rPr>
              <w:color w:val="auto"/>
              <w:highlight w:val="none"/>
            </w:rPr>
            <w:fldChar w:fldCharType="separate"/>
          </w:r>
          <w:r>
            <w:rPr>
              <w:rFonts w:hint="eastAsia" w:cs="黑体"/>
              <w:color w:val="auto"/>
              <w:szCs w:val="52"/>
              <w:highlight w:val="none"/>
            </w:rPr>
            <w:t>第八章投标文件格式</w:t>
          </w:r>
          <w:r>
            <w:rPr>
              <w:color w:val="auto"/>
              <w:highlight w:val="none"/>
            </w:rPr>
            <w:tab/>
          </w:r>
          <w:r>
            <w:rPr>
              <w:rFonts w:hint="eastAsia"/>
              <w:color w:val="auto"/>
              <w:highlight w:val="none"/>
              <w:lang w:val="en-US" w:eastAsia="zh-CN"/>
            </w:rPr>
            <w:t>5</w:t>
          </w:r>
          <w:r>
            <w:rPr>
              <w:color w:val="auto"/>
              <w:highlight w:val="none"/>
            </w:rPr>
            <w:fldChar w:fldCharType="end"/>
          </w:r>
          <w:r>
            <w:rPr>
              <w:rFonts w:hint="eastAsia"/>
              <w:color w:val="auto"/>
              <w:highlight w:val="none"/>
              <w:lang w:val="en-US" w:eastAsia="zh-CN"/>
            </w:rPr>
            <w:t>8</w:t>
          </w:r>
        </w:p>
        <w:p>
          <w:pPr>
            <w:pStyle w:val="36"/>
            <w:tabs>
              <w:tab w:val="right" w:leader="dot" w:pos="9060"/>
            </w:tabs>
            <w:rPr>
              <w:color w:val="auto"/>
              <w:highlight w:val="none"/>
            </w:rPr>
          </w:pPr>
        </w:p>
        <w:p>
          <w:pPr>
            <w:jc w:val="center"/>
            <w:rPr>
              <w:rFonts w:cs="黑体"/>
              <w:color w:val="auto"/>
              <w:sz w:val="44"/>
              <w:szCs w:val="44"/>
              <w:highlight w:val="none"/>
            </w:rPr>
          </w:pPr>
          <w:r>
            <w:rPr>
              <w:rFonts w:hint="eastAsia" w:cs="黑体"/>
              <w:color w:val="auto"/>
              <w:szCs w:val="44"/>
              <w:highlight w:val="none"/>
            </w:rPr>
            <w:fldChar w:fldCharType="end"/>
          </w:r>
        </w:p>
      </w:sdtContent>
    </w:sdt>
    <w:p>
      <w:pPr>
        <w:rPr>
          <w:rFonts w:cs="宋体"/>
          <w:color w:val="auto"/>
          <w:sz w:val="32"/>
          <w:szCs w:val="32"/>
          <w:highlight w:val="none"/>
        </w:rPr>
      </w:pPr>
      <w:r>
        <w:rPr>
          <w:rFonts w:hint="eastAsia" w:cs="宋体"/>
          <w:color w:val="auto"/>
          <w:sz w:val="32"/>
          <w:szCs w:val="32"/>
          <w:highlight w:val="none"/>
        </w:rPr>
        <w:br w:type="page"/>
      </w:r>
    </w:p>
    <w:p>
      <w:pPr>
        <w:pStyle w:val="4"/>
        <w:spacing w:before="120" w:beforeLines="50" w:after="120" w:afterLines="50" w:line="240" w:lineRule="auto"/>
        <w:jc w:val="center"/>
        <w:rPr>
          <w:rFonts w:cs="宋体"/>
          <w:color w:val="auto"/>
          <w:sz w:val="32"/>
          <w:szCs w:val="32"/>
          <w:highlight w:val="none"/>
        </w:rPr>
      </w:pPr>
      <w:bookmarkStart w:id="2" w:name="_Toc25860"/>
      <w:r>
        <w:rPr>
          <w:rFonts w:hint="eastAsia" w:cs="宋体"/>
          <w:color w:val="auto"/>
          <w:sz w:val="32"/>
          <w:szCs w:val="32"/>
          <w:highlight w:val="none"/>
        </w:rPr>
        <w:t>第一章招标公告</w:t>
      </w:r>
      <w:bookmarkEnd w:id="2"/>
    </w:p>
    <w:p>
      <w:pPr>
        <w:jc w:val="center"/>
        <w:rPr>
          <w:rFonts w:cs="宋体"/>
          <w:b/>
          <w:bCs/>
          <w:color w:val="auto"/>
          <w:sz w:val="32"/>
          <w:szCs w:val="32"/>
          <w:highlight w:val="none"/>
        </w:rPr>
      </w:pPr>
      <w:r>
        <w:rPr>
          <w:rFonts w:hint="eastAsia" w:cs="宋体"/>
          <w:b/>
          <w:bCs/>
          <w:color w:val="auto"/>
          <w:sz w:val="32"/>
          <w:szCs w:val="32"/>
          <w:highlight w:val="none"/>
        </w:rPr>
        <w:t>东灶港站物流配套项目甲供土方运输项目</w:t>
      </w:r>
    </w:p>
    <w:p>
      <w:pPr>
        <w:jc w:val="center"/>
        <w:rPr>
          <w:b/>
          <w:bCs/>
          <w:color w:val="auto"/>
          <w:sz w:val="32"/>
          <w:szCs w:val="32"/>
          <w:highlight w:val="none"/>
        </w:rPr>
      </w:pPr>
      <w:r>
        <w:rPr>
          <w:rFonts w:hint="eastAsia" w:cs="宋体"/>
          <w:b/>
          <w:bCs/>
          <w:color w:val="auto"/>
          <w:sz w:val="32"/>
          <w:szCs w:val="32"/>
          <w:highlight w:val="none"/>
        </w:rPr>
        <w:t>2021TFYS标段招标公告</w:t>
      </w:r>
    </w:p>
    <w:p>
      <w:pPr>
        <w:spacing w:line="360" w:lineRule="auto"/>
        <w:jc w:val="left"/>
        <w:rPr>
          <w:rFonts w:ascii="宋体" w:hAnsi="宋体" w:cs="宋体"/>
          <w:b/>
          <w:color w:val="auto"/>
          <w:highlight w:val="none"/>
        </w:rPr>
      </w:pPr>
      <w:r>
        <w:rPr>
          <w:rFonts w:hint="eastAsia" w:ascii="宋体" w:hAnsi="宋体" w:cs="宋体"/>
          <w:b/>
          <w:color w:val="auto"/>
          <w:highlight w:val="none"/>
        </w:rPr>
        <w:t>1. 招标条件</w:t>
      </w:r>
    </w:p>
    <w:p>
      <w:pPr>
        <w:spacing w:line="360" w:lineRule="auto"/>
        <w:ind w:firstLine="468" w:firstLineChars="200"/>
        <w:jc w:val="left"/>
        <w:rPr>
          <w:rFonts w:ascii="宋体" w:hAnsi="宋体" w:cs="宋体"/>
          <w:color w:val="auto"/>
          <w:spacing w:val="27"/>
          <w:highlight w:val="none"/>
        </w:rPr>
      </w:pPr>
      <w:r>
        <w:rPr>
          <w:rFonts w:hint="eastAsia" w:ascii="宋体" w:hAnsi="宋体" w:cs="宋体"/>
          <w:color w:val="auto"/>
          <w:spacing w:val="12"/>
          <w:highlight w:val="none"/>
        </w:rPr>
        <w:t>本招标项目</w:t>
      </w:r>
      <w:r>
        <w:rPr>
          <w:rFonts w:hint="eastAsia" w:ascii="宋体" w:hAnsi="宋体" w:cs="宋体"/>
          <w:color w:val="auto"/>
          <w:spacing w:val="12"/>
          <w:highlight w:val="none"/>
          <w:u w:val="single"/>
        </w:rPr>
        <w:t>东灶港站物流配套项目甲供土方运输项目</w:t>
      </w:r>
      <w:r>
        <w:rPr>
          <w:rFonts w:hint="eastAsia" w:ascii="宋体" w:hAnsi="宋体" w:cs="宋体"/>
          <w:color w:val="auto"/>
          <w:spacing w:val="12"/>
          <w:highlight w:val="none"/>
        </w:rPr>
        <w:t>已由</w:t>
      </w:r>
      <w:r>
        <w:rPr>
          <w:rFonts w:hint="eastAsia" w:ascii="宋体" w:hAnsi="宋体" w:cs="宋体"/>
          <w:color w:val="auto"/>
          <w:spacing w:val="12"/>
          <w:highlight w:val="none"/>
          <w:u w:val="single"/>
        </w:rPr>
        <w:t>南通洋吕铁路开发建设有限公司</w:t>
      </w:r>
      <w:r>
        <w:rPr>
          <w:rFonts w:hint="eastAsia" w:ascii="宋体" w:hAnsi="宋体" w:cs="宋体"/>
          <w:color w:val="auto"/>
          <w:spacing w:val="27"/>
          <w:highlight w:val="none"/>
        </w:rPr>
        <w:t>批准建设，项目业</w:t>
      </w:r>
      <w:r>
        <w:rPr>
          <w:rFonts w:hint="eastAsia" w:ascii="宋体" w:hAnsi="宋体" w:cs="宋体"/>
          <w:color w:val="auto"/>
          <w:highlight w:val="none"/>
        </w:rPr>
        <w:t>主</w:t>
      </w:r>
      <w:r>
        <w:rPr>
          <w:rFonts w:hint="eastAsia" w:ascii="宋体" w:hAnsi="宋体" w:cs="宋体"/>
          <w:color w:val="auto"/>
          <w:spacing w:val="12"/>
          <w:highlight w:val="none"/>
        </w:rPr>
        <w:t>为</w:t>
      </w:r>
      <w:r>
        <w:rPr>
          <w:rFonts w:hint="eastAsia" w:ascii="宋体" w:hAnsi="宋体" w:cs="宋体"/>
          <w:color w:val="auto"/>
          <w:highlight w:val="none"/>
          <w:u w:val="single"/>
        </w:rPr>
        <w:t>南通洋吕铁路开发建设有限公司</w:t>
      </w:r>
      <w:r>
        <w:rPr>
          <w:rFonts w:hint="eastAsia" w:ascii="宋体" w:hAnsi="宋体" w:cs="宋体"/>
          <w:color w:val="auto"/>
          <w:spacing w:val="12"/>
          <w:highlight w:val="none"/>
        </w:rPr>
        <w:t>，建设资金已落实</w:t>
      </w:r>
      <w:r>
        <w:rPr>
          <w:rFonts w:hint="eastAsia" w:ascii="宋体" w:hAnsi="宋体" w:cs="宋体"/>
          <w:color w:val="auto"/>
          <w:spacing w:val="-31"/>
          <w:highlight w:val="none"/>
        </w:rPr>
        <w:t>，</w:t>
      </w:r>
      <w:r>
        <w:rPr>
          <w:rFonts w:hint="eastAsia" w:ascii="宋体" w:hAnsi="宋体" w:cs="宋体"/>
          <w:color w:val="auto"/>
          <w:highlight w:val="none"/>
        </w:rPr>
        <w:t>招标人为</w:t>
      </w:r>
      <w:r>
        <w:rPr>
          <w:rFonts w:hint="eastAsia" w:ascii="宋体" w:hAnsi="宋体" w:cs="宋体"/>
          <w:color w:val="auto"/>
          <w:highlight w:val="none"/>
          <w:u w:val="single"/>
        </w:rPr>
        <w:t>南通洋吕铁路开发建设有限公司</w:t>
      </w:r>
      <w:r>
        <w:rPr>
          <w:rFonts w:hint="eastAsia" w:ascii="宋体" w:hAnsi="宋体" w:cs="宋体"/>
          <w:color w:val="auto"/>
          <w:spacing w:val="-31"/>
          <w:highlight w:val="none"/>
        </w:rPr>
        <w:t>。</w:t>
      </w:r>
      <w:r>
        <w:rPr>
          <w:rFonts w:hint="eastAsia" w:ascii="宋体" w:hAnsi="宋体" w:cs="宋体"/>
          <w:color w:val="auto"/>
          <w:highlight w:val="none"/>
        </w:rPr>
        <w:t>项目已具备招标条件</w:t>
      </w:r>
      <w:r>
        <w:rPr>
          <w:rFonts w:hint="eastAsia" w:ascii="宋体" w:hAnsi="宋体" w:cs="宋体"/>
          <w:color w:val="auto"/>
          <w:spacing w:val="-31"/>
          <w:highlight w:val="none"/>
        </w:rPr>
        <w:t>，</w:t>
      </w:r>
      <w:r>
        <w:rPr>
          <w:rFonts w:hint="eastAsia" w:ascii="宋体" w:hAnsi="宋体" w:cs="宋体"/>
          <w:color w:val="auto"/>
          <w:highlight w:val="none"/>
        </w:rPr>
        <w:t>现对该项目的施工进行公开招标。</w:t>
      </w:r>
    </w:p>
    <w:p>
      <w:pPr>
        <w:spacing w:line="360" w:lineRule="auto"/>
        <w:jc w:val="left"/>
        <w:rPr>
          <w:rFonts w:ascii="宋体" w:hAnsi="宋体" w:cs="宋体"/>
          <w:b/>
          <w:color w:val="auto"/>
          <w:highlight w:val="none"/>
        </w:rPr>
      </w:pPr>
      <w:r>
        <w:rPr>
          <w:rFonts w:hint="eastAsia" w:ascii="宋体" w:hAnsi="宋体" w:cs="宋体"/>
          <w:b/>
          <w:color w:val="auto"/>
          <w:highlight w:val="none"/>
        </w:rPr>
        <w:t>2. 项目概况与招标范围</w:t>
      </w:r>
    </w:p>
    <w:p>
      <w:pPr>
        <w:spacing w:line="360" w:lineRule="auto"/>
        <w:ind w:firstLine="420" w:firstLineChars="200"/>
        <w:jc w:val="left"/>
        <w:rPr>
          <w:rFonts w:ascii="宋体" w:hAnsi="宋体" w:cs="宋体"/>
          <w:color w:val="auto"/>
          <w:spacing w:val="12"/>
          <w:highlight w:val="none"/>
          <w:u w:val="single"/>
        </w:rPr>
      </w:pPr>
      <w:r>
        <w:rPr>
          <w:rFonts w:hint="eastAsia" w:ascii="宋体" w:hAnsi="宋体" w:cs="宋体"/>
          <w:color w:val="auto"/>
          <w:highlight w:val="none"/>
        </w:rPr>
        <w:t>2.1项目概况：</w:t>
      </w:r>
      <w:r>
        <w:rPr>
          <w:rFonts w:hint="eastAsia" w:ascii="宋体" w:hAnsi="宋体" w:cs="宋体"/>
          <w:color w:val="auto"/>
          <w:spacing w:val="12"/>
          <w:highlight w:val="none"/>
        </w:rPr>
        <w:t>东灶港站物流配套项目甲供土方运输项目</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2.2招标范围与工作内容：</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工程数量约40万立方（具体以实际数量为准）</w:t>
      </w:r>
      <w:r>
        <w:rPr>
          <w:rFonts w:hint="eastAsia" w:ascii="宋体" w:hAnsi="宋体" w:cs="宋体"/>
          <w:color w:val="auto"/>
          <w:highlight w:val="none"/>
          <w:lang w:eastAsia="zh-CN"/>
        </w:rPr>
        <w:t>，</w:t>
      </w:r>
      <w:r>
        <w:rPr>
          <w:rFonts w:hint="eastAsia" w:ascii="宋体" w:hAnsi="宋体" w:cs="宋体"/>
          <w:color w:val="auto"/>
          <w:highlight w:val="none"/>
        </w:rPr>
        <w:t>土方存土位置在大东村4组陵园附近（洋吕铁路正线里程k55+700附近）。</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施工工期：一年。</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质量目标：合格。</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安全目标：安全生产无责任事故。</w:t>
      </w:r>
    </w:p>
    <w:p>
      <w:pPr>
        <w:spacing w:line="360" w:lineRule="auto"/>
        <w:jc w:val="left"/>
        <w:rPr>
          <w:rFonts w:ascii="宋体" w:hAnsi="宋体" w:cs="宋体"/>
          <w:b/>
          <w:color w:val="auto"/>
          <w:highlight w:val="none"/>
        </w:rPr>
      </w:pPr>
      <w:r>
        <w:rPr>
          <w:rFonts w:hint="eastAsia" w:ascii="宋体" w:hAnsi="宋体" w:cs="宋体"/>
          <w:b/>
          <w:color w:val="auto"/>
          <w:highlight w:val="none"/>
        </w:rPr>
        <w:t>3. 投标人资格要求</w:t>
      </w:r>
    </w:p>
    <w:p>
      <w:pPr>
        <w:spacing w:line="360" w:lineRule="auto"/>
        <w:ind w:firstLine="420" w:firstLineChars="200"/>
        <w:jc w:val="left"/>
        <w:rPr>
          <w:rFonts w:ascii="宋体" w:hAnsi="宋体" w:cs="宋体"/>
          <w:color w:val="auto"/>
          <w:highlight w:val="none"/>
        </w:rPr>
      </w:pPr>
      <w:bookmarkStart w:id="3" w:name="_Hlk44357884"/>
      <w:r>
        <w:rPr>
          <w:rFonts w:hint="eastAsia" w:ascii="宋体" w:hAnsi="宋体" w:cs="宋体"/>
          <w:color w:val="auto"/>
          <w:highlight w:val="none"/>
        </w:rPr>
        <w:t>3.1投标人应具备的承担本次招标项目的资质条件、能力和信誉要求为：</w:t>
      </w:r>
    </w:p>
    <w:p>
      <w:pPr>
        <w:numPr>
          <w:ilvl w:val="0"/>
          <w:numId w:val="1"/>
        </w:num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资质条件：投标人应具有独立法人资格，具有有效的基本账户开户许可证或基本存款账户信息，</w:t>
      </w:r>
      <w:r>
        <w:rPr>
          <w:rFonts w:hint="eastAsia" w:ascii="宋体" w:hAnsi="宋体" w:cs="宋体"/>
          <w:color w:val="auto"/>
          <w:kern w:val="0"/>
          <w:highlight w:val="none"/>
        </w:rPr>
        <w:t>具有有效的省级及以上相关部门颁发的《安全生产许可证》，且</w:t>
      </w:r>
      <w:r>
        <w:rPr>
          <w:rFonts w:hint="eastAsia" w:ascii="宋体" w:hAnsi="宋体" w:cs="宋体"/>
          <w:color w:val="auto"/>
          <w:highlight w:val="none"/>
        </w:rPr>
        <w:t>具备以下任意一项资质：</w:t>
      </w:r>
    </w:p>
    <w:p>
      <w:pPr>
        <w:spacing w:line="360" w:lineRule="auto"/>
        <w:ind w:left="420" w:leftChars="200"/>
        <w:jc w:val="left"/>
        <w:rPr>
          <w:rFonts w:ascii="宋体" w:hAnsi="宋体" w:cs="宋体"/>
          <w:color w:val="auto"/>
          <w:highlight w:val="none"/>
        </w:rPr>
      </w:pPr>
      <w:r>
        <w:rPr>
          <w:rFonts w:hint="eastAsia" w:ascii="宋体" w:hAnsi="宋体" w:cs="宋体"/>
          <w:color w:val="auto"/>
          <w:highlight w:val="none"/>
        </w:rPr>
        <w:t>①公路工程施工总承包三级及以上资质；</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②港口与航道工程施工总承包三级及以上资质；</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③建筑工程施工总承包三级及以上；</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④市政公用工程施工总承包三级及以上资质；</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⑤铁路工程施工总承包三级及以上资质；</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⑥水利水电工程施工总承包三级及以上资质。</w:t>
      </w:r>
    </w:p>
    <w:p>
      <w:pPr>
        <w:spacing w:line="360" w:lineRule="auto"/>
        <w:ind w:firstLine="420" w:firstLineChars="200"/>
        <w:jc w:val="left"/>
        <w:rPr>
          <w:rFonts w:ascii="仿宋" w:hAnsi="仿宋" w:eastAsia="仿宋" w:cs="仿宋"/>
          <w:color w:val="auto"/>
          <w:sz w:val="28"/>
          <w:szCs w:val="28"/>
          <w:highlight w:val="none"/>
        </w:rPr>
      </w:pPr>
      <w:r>
        <w:rPr>
          <w:rFonts w:hint="eastAsia" w:ascii="宋体" w:hAnsi="宋体" w:cs="宋体"/>
          <w:color w:val="auto"/>
          <w:highlight w:val="none"/>
        </w:rPr>
        <w:t>(2)业绩要求：投标人自2018年1月1日以来（以合同签订时间为准）完成过土方工程(或包含土方的工程项目)或土方运输项目。</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(3)信誉要求：截止投标文件递交时间当日，投标人未在“信用中国”网站（http://www.creditchina.gov.cn/）中被列入失信被执行人名单；截止投标文件递交时间当日，投标人未在国家企业信用信息公示系统（http://www.gsxt.gov.cn/）中被列入严重违法失信企业名单。</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(4)项目经理：</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项目经理须具有有效的二级或以上注册建造师资格；具有与企业资质相对应的省级及以上行政主管部门核发的有效的安全生产考核合格证书（B类证）</w:t>
      </w:r>
      <w:r>
        <w:rPr>
          <w:rFonts w:hint="eastAsia" w:ascii="宋体" w:hAnsi="宋体" w:cs="宋体"/>
          <w:color w:val="auto"/>
          <w:kern w:val="0"/>
          <w:highlight w:val="none"/>
          <w:lang w:val="zh-TW"/>
        </w:rPr>
        <w:t>。</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项目经理目前无在岗项目(无在岗项目指目前未在其他项目上任职，或虽在其他项目上任职但本项目中标后能够从该项目撤离，投标人应提供拟投入项目经理任职</w:t>
      </w:r>
      <w:r>
        <w:rPr>
          <w:rFonts w:ascii="宋体" w:hAnsi="宋体" w:cs="宋体"/>
          <w:color w:val="auto"/>
          <w:highlight w:val="none"/>
        </w:rPr>
        <w:t>承诺</w:t>
      </w:r>
      <w:r>
        <w:rPr>
          <w:rFonts w:hint="eastAsia" w:ascii="宋体" w:hAnsi="宋体" w:cs="宋体"/>
          <w:color w:val="auto"/>
          <w:highlight w:val="none"/>
        </w:rPr>
        <w:t>函)。</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3.2 本次招标不接受联合体投标。</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3.3</w:t>
      </w:r>
      <w:r>
        <w:rPr>
          <w:rFonts w:hint="eastAsia" w:ascii="宋体" w:hAnsi="宋体"/>
          <w:color w:val="auto"/>
          <w:highlight w:val="none"/>
        </w:rPr>
        <w:t>与招标人存在利害关系可能影响招标公正性的单位，不得参加投标。单位负责人为同一人或存在控股、管理关系的不同单位，不得参加同一标段投标，否则，相关投标均无效。</w:t>
      </w:r>
    </w:p>
    <w:p>
      <w:pPr>
        <w:pStyle w:val="3"/>
        <w:spacing w:after="0" w:line="360" w:lineRule="auto"/>
        <w:ind w:firstLine="420" w:firstLineChars="200"/>
        <w:jc w:val="left"/>
        <w:rPr>
          <w:rFonts w:ascii="宋体" w:hAnsi="宋体" w:cs="宋体"/>
          <w:color w:val="auto"/>
          <w:highlight w:val="none"/>
        </w:rPr>
      </w:pPr>
      <w:r>
        <w:rPr>
          <w:rFonts w:hint="eastAsia" w:ascii="宋体" w:hAnsi="宋体" w:cs="宋体"/>
          <w:color w:val="auto"/>
          <w:highlight w:val="none"/>
        </w:rPr>
        <w:t>3.4本招标项目不允许分包或转包。</w:t>
      </w:r>
    </w:p>
    <w:bookmarkEnd w:id="3"/>
    <w:p>
      <w:pPr>
        <w:spacing w:line="360" w:lineRule="auto"/>
        <w:jc w:val="left"/>
        <w:rPr>
          <w:rFonts w:ascii="宋体" w:hAnsi="宋体" w:cs="宋体"/>
          <w:color w:val="auto"/>
          <w:highlight w:val="none"/>
        </w:rPr>
      </w:pPr>
      <w:bookmarkStart w:id="4" w:name="_Toc238559183"/>
      <w:bookmarkStart w:id="5" w:name="_Toc152042303"/>
      <w:bookmarkStart w:id="6" w:name="_Toc144974495"/>
      <w:bookmarkStart w:id="7" w:name="_Toc460366495"/>
      <w:bookmarkStart w:id="8" w:name="_Toc234675074"/>
      <w:bookmarkStart w:id="9" w:name="_Toc508615691"/>
      <w:bookmarkStart w:id="10" w:name="_Toc9226"/>
      <w:bookmarkStart w:id="11" w:name="_Toc12183"/>
      <w:bookmarkStart w:id="12" w:name="_Toc234744442"/>
      <w:bookmarkStart w:id="13" w:name="_Toc19318"/>
      <w:bookmarkStart w:id="14" w:name="_Toc152045527"/>
      <w:bookmarkStart w:id="15" w:name="_Toc179632544"/>
      <w:r>
        <w:rPr>
          <w:rFonts w:hint="eastAsia" w:ascii="宋体" w:hAnsi="宋体" w:cs="宋体"/>
          <w:b/>
          <w:color w:val="auto"/>
          <w:highlight w:val="none"/>
        </w:rPr>
        <w:t>4. 招标文件获取</w:t>
      </w:r>
    </w:p>
    <w:p>
      <w:pPr>
        <w:spacing w:line="360" w:lineRule="auto"/>
        <w:ind w:firstLine="432" w:firstLineChars="206"/>
        <w:jc w:val="left"/>
        <w:rPr>
          <w:rFonts w:ascii="宋体" w:hAnsi="宋体" w:cs="宋体"/>
          <w:color w:val="auto"/>
          <w:highlight w:val="none"/>
        </w:rPr>
      </w:pPr>
      <w:r>
        <w:rPr>
          <w:rFonts w:hint="eastAsia" w:ascii="宋体" w:hAnsi="宋体" w:cs="宋体"/>
          <w:color w:val="auto"/>
          <w:highlight w:val="none"/>
        </w:rPr>
        <w:t>4.1时间：</w:t>
      </w:r>
      <w:r>
        <w:rPr>
          <w:rFonts w:hint="eastAsia" w:ascii="宋体" w:hAnsi="宋体" w:cs="宋体"/>
          <w:b/>
          <w:bCs/>
          <w:color w:val="auto"/>
          <w:highlight w:val="none"/>
        </w:rPr>
        <w:t>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2</w:t>
      </w:r>
      <w:r>
        <w:rPr>
          <w:rFonts w:hint="eastAsia" w:ascii="宋体" w:hAnsi="宋体" w:cs="宋体"/>
          <w:b/>
          <w:bCs/>
          <w:color w:val="auto"/>
          <w:highlight w:val="none"/>
        </w:rPr>
        <w:t>日至2021年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9</w:t>
      </w:r>
      <w:r>
        <w:rPr>
          <w:rFonts w:hint="eastAsia" w:ascii="宋体" w:hAnsi="宋体" w:cs="宋体"/>
          <w:b/>
          <w:bCs/>
          <w:color w:val="auto"/>
          <w:highlight w:val="none"/>
        </w:rPr>
        <w:t>日</w:t>
      </w:r>
      <w:r>
        <w:rPr>
          <w:rFonts w:hint="eastAsia" w:ascii="宋体" w:hAnsi="宋体" w:cs="宋体"/>
          <w:color w:val="auto"/>
          <w:highlight w:val="none"/>
        </w:rPr>
        <w:t>。</w:t>
      </w:r>
    </w:p>
    <w:p>
      <w:pPr>
        <w:spacing w:line="360" w:lineRule="auto"/>
        <w:ind w:firstLine="432" w:firstLineChars="206"/>
        <w:jc w:val="left"/>
        <w:rPr>
          <w:rFonts w:ascii="宋体" w:hAnsi="宋体" w:cs="宋体"/>
          <w:color w:val="auto"/>
          <w:highlight w:val="none"/>
        </w:rPr>
      </w:pPr>
      <w:r>
        <w:rPr>
          <w:rFonts w:hint="eastAsia" w:ascii="宋体" w:hAnsi="宋体" w:cs="宋体"/>
          <w:color w:val="auto"/>
          <w:highlight w:val="none"/>
        </w:rPr>
        <w:t>4.2方式：请自南通市公共资源交易网（http://zfcg.nantong.gov.cn/）、南通沿海开发集团网（http://www.ncd-group.com/）下载招标文件。</w:t>
      </w:r>
    </w:p>
    <w:p>
      <w:pPr>
        <w:spacing w:line="360" w:lineRule="auto"/>
        <w:ind w:firstLine="432" w:firstLineChars="206"/>
        <w:jc w:val="left"/>
        <w:rPr>
          <w:rFonts w:ascii="宋体" w:hAnsi="宋体" w:cs="宋体"/>
          <w:color w:val="auto"/>
          <w:highlight w:val="none"/>
        </w:rPr>
      </w:pPr>
      <w:r>
        <w:rPr>
          <w:rFonts w:hint="eastAsia" w:ascii="宋体" w:hAnsi="宋体" w:cs="宋体"/>
          <w:color w:val="auto"/>
          <w:highlight w:val="none"/>
        </w:rPr>
        <w:t>4.3售价：500元。凡有意参与本项目投标的，自公告上网发布之日起至</w:t>
      </w:r>
      <w:r>
        <w:rPr>
          <w:rFonts w:hint="eastAsia" w:ascii="宋体" w:hAnsi="宋体" w:cs="宋体"/>
          <w:b/>
          <w:bCs/>
          <w:color w:val="auto"/>
          <w:highlight w:val="none"/>
        </w:rPr>
        <w:t>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9</w:t>
      </w:r>
      <w:r>
        <w:rPr>
          <w:rFonts w:hint="eastAsia" w:ascii="宋体" w:hAnsi="宋体" w:cs="宋体"/>
          <w:b/>
          <w:bCs/>
          <w:color w:val="auto"/>
          <w:highlight w:val="none"/>
        </w:rPr>
        <w:t>日</w:t>
      </w:r>
      <w:r>
        <w:rPr>
          <w:rFonts w:hint="eastAsia" w:ascii="宋体" w:hAnsi="宋体" w:cs="宋体"/>
          <w:color w:val="auto"/>
          <w:highlight w:val="none"/>
        </w:rPr>
        <w:t>，每日工作时间：上午8:30—11:30整，下午13:30—17:30整（节假日除外）向代理单位支付招标文件费用并按附件提供《申请函》，未按上述要求支付招标文件费用的投标文件不予接收，视为放弃本项目投标。招标文件费用无论是否中标均不予退回。</w:t>
      </w:r>
    </w:p>
    <w:p>
      <w:pPr>
        <w:spacing w:line="360" w:lineRule="auto"/>
        <w:ind w:firstLine="432" w:firstLineChars="206"/>
        <w:jc w:val="left"/>
        <w:rPr>
          <w:rFonts w:ascii="宋体" w:hAnsi="宋体" w:cs="宋体"/>
          <w:color w:val="auto"/>
          <w:highlight w:val="none"/>
        </w:rPr>
      </w:pPr>
      <w:r>
        <w:rPr>
          <w:rFonts w:hint="eastAsia" w:ascii="宋体" w:hAnsi="宋体" w:cs="宋体"/>
          <w:color w:val="auto"/>
          <w:highlight w:val="none"/>
        </w:rPr>
        <w:t>4.4招标文件获取联系人：</w:t>
      </w:r>
      <w:r>
        <w:rPr>
          <w:rFonts w:hint="eastAsia" w:ascii="宋体" w:hAnsi="宋体" w:cs="宋体"/>
          <w:color w:val="auto"/>
          <w:highlight w:val="none"/>
          <w:lang w:val="en-US" w:eastAsia="zh-CN"/>
        </w:rPr>
        <w:t>吴</w:t>
      </w:r>
      <w:r>
        <w:rPr>
          <w:rFonts w:hint="eastAsia" w:ascii="宋体" w:hAnsi="宋体" w:cs="宋体"/>
          <w:color w:val="auto"/>
          <w:highlight w:val="none"/>
        </w:rPr>
        <w:t>工，联系电话：1</w:t>
      </w:r>
      <w:r>
        <w:rPr>
          <w:rFonts w:hint="eastAsia" w:ascii="宋体" w:hAnsi="宋体" w:cs="宋体"/>
          <w:color w:val="auto"/>
          <w:highlight w:val="none"/>
          <w:lang w:val="en-US" w:eastAsia="zh-CN"/>
        </w:rPr>
        <w:t>8851339010</w:t>
      </w:r>
      <w:r>
        <w:rPr>
          <w:rFonts w:hint="eastAsia" w:ascii="宋体" w:hAnsi="宋体" w:cs="宋体"/>
          <w:color w:val="auto"/>
          <w:highlight w:val="none"/>
        </w:rPr>
        <w:t>，QQ：</w:t>
      </w:r>
      <w:r>
        <w:rPr>
          <w:rFonts w:hint="eastAsia" w:ascii="宋体" w:hAnsi="宋体" w:cs="宋体"/>
          <w:color w:val="auto"/>
          <w:highlight w:val="none"/>
          <w:lang w:val="en-US" w:eastAsia="zh-CN"/>
        </w:rPr>
        <w:t>617823105</w:t>
      </w:r>
      <w:r>
        <w:rPr>
          <w:rFonts w:hint="eastAsia" w:ascii="宋体" w:hAnsi="宋体" w:cs="宋体"/>
          <w:color w:val="auto"/>
          <w:highlight w:val="none"/>
        </w:rPr>
        <w:t>。</w:t>
      </w:r>
    </w:p>
    <w:p>
      <w:pPr>
        <w:spacing w:line="360" w:lineRule="auto"/>
        <w:jc w:val="left"/>
        <w:rPr>
          <w:rFonts w:ascii="宋体" w:hAnsi="宋体" w:cs="宋体"/>
          <w:b/>
          <w:color w:val="auto"/>
          <w:highlight w:val="none"/>
        </w:rPr>
      </w:pPr>
      <w:r>
        <w:rPr>
          <w:rFonts w:hint="eastAsia" w:ascii="宋体" w:hAnsi="宋体" w:cs="宋体"/>
          <w:b/>
          <w:color w:val="auto"/>
          <w:highlight w:val="none"/>
        </w:rPr>
        <w:t>5. 投标文件的递交及相关事宜</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 xml:space="preserve">5.1招标人将于下列时间和地点组织进行工程现场踏勘并召开投标预备会。 </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 xml:space="preserve">踏勘现场时间及地点：不组织； </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投标预备会时间及地点：不召开。</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5.2投标文件递交的截止时间（投标截止时间，下同）为</w:t>
      </w:r>
      <w:r>
        <w:rPr>
          <w:rFonts w:hint="eastAsia" w:ascii="宋体" w:hAnsi="宋体" w:cs="宋体"/>
          <w:b/>
          <w:bCs/>
          <w:color w:val="auto"/>
          <w:highlight w:val="none"/>
        </w:rPr>
        <w:t>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23</w:t>
      </w:r>
      <w:r>
        <w:rPr>
          <w:rFonts w:hint="eastAsia" w:ascii="宋体" w:hAnsi="宋体" w:cs="宋体"/>
          <w:b/>
          <w:bCs/>
          <w:color w:val="auto"/>
          <w:highlight w:val="none"/>
        </w:rPr>
        <w:t>日</w:t>
      </w:r>
      <w:r>
        <w:rPr>
          <w:rFonts w:hint="eastAsia" w:ascii="宋体" w:hAnsi="宋体" w:cs="宋体"/>
          <w:b/>
          <w:bCs/>
          <w:color w:val="auto"/>
          <w:highlight w:val="none"/>
          <w:lang w:val="en-US" w:eastAsia="zh-CN"/>
        </w:rPr>
        <w:t>9</w:t>
      </w:r>
      <w:r>
        <w:rPr>
          <w:rFonts w:hint="eastAsia" w:ascii="宋体" w:hAnsi="宋体" w:cs="宋体"/>
          <w:b/>
          <w:bCs/>
          <w:color w:val="auto"/>
          <w:highlight w:val="none"/>
        </w:rPr>
        <w:t>时</w:t>
      </w:r>
      <w:r>
        <w:rPr>
          <w:rFonts w:hint="eastAsia" w:ascii="宋体" w:hAnsi="宋体" w:cs="宋体"/>
          <w:b/>
          <w:bCs/>
          <w:color w:val="auto"/>
          <w:highlight w:val="none"/>
          <w:lang w:val="en-US" w:eastAsia="zh-CN"/>
        </w:rPr>
        <w:t>30</w:t>
      </w:r>
      <w:r>
        <w:rPr>
          <w:rFonts w:hint="eastAsia" w:ascii="宋体" w:hAnsi="宋体" w:cs="宋体"/>
          <w:b/>
          <w:bCs/>
          <w:color w:val="auto"/>
          <w:highlight w:val="none"/>
        </w:rPr>
        <w:t>分</w:t>
      </w:r>
      <w:r>
        <w:rPr>
          <w:rFonts w:hint="eastAsia" w:ascii="宋体" w:hAnsi="宋体" w:cs="宋体"/>
          <w:color w:val="auto"/>
          <w:highlight w:val="none"/>
        </w:rPr>
        <w:t>，投标人应当于</w:t>
      </w:r>
      <w:r>
        <w:rPr>
          <w:rFonts w:hint="eastAsia" w:ascii="宋体" w:hAnsi="宋体" w:cs="宋体"/>
          <w:b/>
          <w:bCs/>
          <w:color w:val="auto"/>
          <w:highlight w:val="none"/>
        </w:rPr>
        <w:t>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23</w:t>
      </w:r>
      <w:r>
        <w:rPr>
          <w:rFonts w:hint="eastAsia" w:ascii="宋体" w:hAnsi="宋体" w:cs="宋体"/>
          <w:b/>
          <w:bCs/>
          <w:color w:val="auto"/>
          <w:highlight w:val="none"/>
        </w:rPr>
        <w:t>日</w:t>
      </w:r>
      <w:r>
        <w:rPr>
          <w:rFonts w:hint="eastAsia" w:ascii="宋体" w:hAnsi="宋体" w:cs="宋体"/>
          <w:b/>
          <w:bCs/>
          <w:color w:val="auto"/>
          <w:highlight w:val="none"/>
          <w:lang w:val="en-US" w:eastAsia="zh-CN"/>
        </w:rPr>
        <w:t>9</w:t>
      </w:r>
      <w:r>
        <w:rPr>
          <w:rFonts w:hint="eastAsia" w:ascii="宋体" w:hAnsi="宋体" w:cs="宋体"/>
          <w:b/>
          <w:bCs/>
          <w:color w:val="auto"/>
          <w:highlight w:val="none"/>
        </w:rPr>
        <w:t>时</w:t>
      </w:r>
      <w:r>
        <w:rPr>
          <w:rFonts w:hint="eastAsia" w:ascii="宋体" w:hAnsi="宋体" w:cs="宋体"/>
          <w:b/>
          <w:bCs/>
          <w:color w:val="auto"/>
          <w:highlight w:val="none"/>
          <w:lang w:val="en-US" w:eastAsia="zh-CN"/>
        </w:rPr>
        <w:t>00</w:t>
      </w:r>
      <w:r>
        <w:rPr>
          <w:rFonts w:hint="eastAsia" w:ascii="宋体" w:hAnsi="宋体" w:cs="宋体"/>
          <w:b/>
          <w:bCs/>
          <w:color w:val="auto"/>
          <w:highlight w:val="none"/>
        </w:rPr>
        <w:t>分至2021年</w:t>
      </w:r>
      <w:r>
        <w:rPr>
          <w:rFonts w:hint="eastAsia" w:ascii="宋体" w:hAnsi="宋体" w:cs="宋体"/>
          <w:b/>
          <w:bCs/>
          <w:color w:val="auto"/>
          <w:highlight w:val="none"/>
          <w:lang w:val="en-US" w:eastAsia="zh-CN"/>
        </w:rPr>
        <w:t>12</w:t>
      </w:r>
      <w:r>
        <w:rPr>
          <w:rFonts w:hint="eastAsia" w:ascii="宋体" w:hAnsi="宋体" w:cs="宋体"/>
          <w:b/>
          <w:bCs/>
          <w:color w:val="auto"/>
          <w:highlight w:val="none"/>
        </w:rPr>
        <w:t>月</w:t>
      </w:r>
      <w:r>
        <w:rPr>
          <w:rFonts w:hint="eastAsia" w:ascii="宋体" w:hAnsi="宋体" w:cs="宋体"/>
          <w:b/>
          <w:bCs/>
          <w:color w:val="auto"/>
          <w:highlight w:val="none"/>
          <w:lang w:val="en-US" w:eastAsia="zh-CN"/>
        </w:rPr>
        <w:t>23</w:t>
      </w:r>
      <w:r>
        <w:rPr>
          <w:rFonts w:hint="eastAsia" w:ascii="宋体" w:hAnsi="宋体" w:cs="宋体"/>
          <w:b/>
          <w:bCs/>
          <w:color w:val="auto"/>
          <w:highlight w:val="none"/>
        </w:rPr>
        <w:t>日</w:t>
      </w:r>
      <w:r>
        <w:rPr>
          <w:rFonts w:hint="eastAsia" w:ascii="宋体" w:hAnsi="宋体" w:cs="宋体"/>
          <w:b/>
          <w:bCs/>
          <w:color w:val="auto"/>
          <w:highlight w:val="none"/>
          <w:lang w:val="en-US" w:eastAsia="zh-CN"/>
        </w:rPr>
        <w:t>9</w:t>
      </w:r>
      <w:r>
        <w:rPr>
          <w:rFonts w:hint="eastAsia" w:ascii="宋体" w:hAnsi="宋体" w:cs="宋体"/>
          <w:b/>
          <w:bCs/>
          <w:color w:val="auto"/>
          <w:highlight w:val="none"/>
        </w:rPr>
        <w:t>时</w:t>
      </w:r>
      <w:r>
        <w:rPr>
          <w:rFonts w:hint="eastAsia" w:ascii="宋体" w:hAnsi="宋体" w:cs="宋体"/>
          <w:b/>
          <w:bCs/>
          <w:color w:val="auto"/>
          <w:highlight w:val="none"/>
          <w:lang w:val="en-US" w:eastAsia="zh-CN"/>
        </w:rPr>
        <w:t>30</w:t>
      </w:r>
      <w:r>
        <w:rPr>
          <w:rFonts w:hint="eastAsia" w:ascii="宋体" w:hAnsi="宋体" w:cs="宋体"/>
          <w:b/>
          <w:bCs/>
          <w:color w:val="auto"/>
          <w:highlight w:val="none"/>
        </w:rPr>
        <w:t>分</w:t>
      </w:r>
      <w:r>
        <w:rPr>
          <w:rFonts w:hint="eastAsia" w:ascii="宋体" w:hAnsi="宋体" w:cs="宋体"/>
          <w:color w:val="auto"/>
          <w:highlight w:val="none"/>
        </w:rPr>
        <w:t>将投标文件递交至</w:t>
      </w:r>
      <w:r>
        <w:rPr>
          <w:rFonts w:hint="eastAsia" w:ascii="宋体" w:hAnsi="宋体" w:cs="宋体"/>
          <w:b/>
          <w:bCs/>
          <w:color w:val="auto"/>
          <w:highlight w:val="none"/>
          <w:u w:val="single"/>
        </w:rPr>
        <w:t>南通市工农南路150号市政务中心裙楼四楼（具体以开标大屏幕为准）。</w:t>
      </w:r>
      <w:r>
        <w:rPr>
          <w:rFonts w:hint="eastAsia" w:ascii="宋体" w:hAnsi="宋体" w:cs="宋体"/>
          <w:color w:val="auto"/>
          <w:highlight w:val="none"/>
        </w:rPr>
        <w:t>逾期送达的或者未送达指定地点的或不按照招标文件要求密封的投标文件，招标人将予以拒收。</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5.3定于本项目投标截止同一时间在上述投标地点公开开标。</w:t>
      </w:r>
    </w:p>
    <w:p>
      <w:pPr>
        <w:spacing w:line="360" w:lineRule="auto"/>
        <w:ind w:firstLine="422" w:firstLineChars="200"/>
        <w:jc w:val="left"/>
        <w:rPr>
          <w:rFonts w:hint="eastAsia" w:ascii="宋体" w:hAnsi="宋体"/>
          <w:b/>
          <w:bCs/>
          <w:sz w:val="21"/>
          <w:szCs w:val="21"/>
          <w:highlight w:val="none"/>
        </w:rPr>
      </w:pPr>
      <w:r>
        <w:rPr>
          <w:rFonts w:hint="eastAsia" w:ascii="宋体" w:hAnsi="宋体" w:cs="宋体"/>
          <w:b/>
          <w:bCs/>
          <w:color w:val="auto"/>
          <w:highlight w:val="none"/>
        </w:rPr>
        <w:t>5.4</w:t>
      </w:r>
      <w:r>
        <w:rPr>
          <w:rFonts w:hint="eastAsia" w:ascii="宋体" w:hAnsi="宋体" w:cs="宋体"/>
          <w:b/>
          <w:bCs/>
          <w:color w:val="auto"/>
          <w:highlight w:val="none"/>
          <w:lang w:val="en-US" w:eastAsia="zh-CN"/>
        </w:rPr>
        <w:t>因疫情防控需要，</w:t>
      </w:r>
      <w:r>
        <w:rPr>
          <w:rFonts w:hint="eastAsia" w:ascii="宋体" w:hAnsi="宋体" w:cs="宋体"/>
          <w:b/>
          <w:color w:val="auto"/>
          <w:highlight w:val="none"/>
        </w:rPr>
        <w:t>每个投标人仅允许法定代表人或其授权代理人一人携带有效身份证明出席开标会，若未前来出席开标会，则视为默认开标结果。</w:t>
      </w:r>
      <w:r>
        <w:rPr>
          <w:rFonts w:hint="eastAsia" w:ascii="宋体" w:hAnsi="宋体"/>
          <w:b/>
          <w:bCs/>
          <w:sz w:val="21"/>
          <w:szCs w:val="21"/>
          <w:highlight w:val="none"/>
        </w:rPr>
        <w:t>投标人递交投标文件时，投标人的法定代表人（或其授权代理人）必须携带本人身份证件原件、法定代表人身份证明（或授权委托书）原件准时参加开标会议。否则，其投标文件不予受理。</w:t>
      </w:r>
    </w:p>
    <w:p>
      <w:pPr>
        <w:widowControl/>
        <w:snapToGrid w:val="0"/>
        <w:spacing w:line="360" w:lineRule="auto"/>
        <w:ind w:firstLine="422" w:firstLineChars="200"/>
        <w:jc w:val="left"/>
        <w:rPr>
          <w:rFonts w:hint="eastAsia" w:ascii="宋体" w:hAnsi="宋体"/>
          <w:b/>
          <w:bCs/>
          <w:sz w:val="21"/>
          <w:szCs w:val="21"/>
          <w:highlight w:val="none"/>
        </w:rPr>
      </w:pPr>
      <w:r>
        <w:rPr>
          <w:rFonts w:hint="eastAsia" w:ascii="宋体" w:hAnsi="宋体"/>
          <w:b/>
          <w:bCs/>
          <w:sz w:val="21"/>
          <w:szCs w:val="21"/>
          <w:highlight w:val="none"/>
        </w:rPr>
        <w:t>注：法定代表人身份证明（或授权委托书）不仅需要装订在投标文件中，还需要一份原件由法定代表人（或其授权代理人）在投标时随身携带，供递交投标文件时核验。</w:t>
      </w:r>
    </w:p>
    <w:p>
      <w:pPr>
        <w:pStyle w:val="50"/>
        <w:keepNext w:val="0"/>
        <w:keepLines w:val="0"/>
        <w:pageBreakBefore w:val="0"/>
        <w:widowControl w:val="0"/>
        <w:kinsoku/>
        <w:wordWrap/>
        <w:overflowPunct/>
        <w:topLinePunct w:val="0"/>
        <w:autoSpaceDE/>
        <w:autoSpaceDN/>
        <w:bidi w:val="0"/>
        <w:adjustRightInd/>
        <w:snapToGrid/>
        <w:spacing w:after="0" w:line="360" w:lineRule="auto"/>
        <w:ind w:left="-105" w:leftChars="-50"/>
        <w:textAlignment w:val="auto"/>
        <w:rPr>
          <w:rFonts w:hint="default" w:eastAsia="宋体"/>
          <w:sz w:val="21"/>
          <w:szCs w:val="21"/>
          <w:highlight w:val="none"/>
          <w:lang w:val="en-US" w:eastAsia="zh-CN"/>
        </w:rPr>
      </w:pPr>
      <w:r>
        <w:rPr>
          <w:rFonts w:ascii="宋体" w:hAnsi="宋体"/>
          <w:b/>
          <w:sz w:val="21"/>
          <w:szCs w:val="21"/>
          <w:highlight w:val="none"/>
        </w:rPr>
        <w:t>特别提醒：</w:t>
      </w:r>
      <w:r>
        <w:rPr>
          <w:rFonts w:ascii="宋体" w:hAnsi="宋体"/>
          <w:b/>
          <w:bCs/>
          <w:sz w:val="21"/>
          <w:szCs w:val="21"/>
          <w:highlight w:val="none"/>
        </w:rPr>
        <w:t>在疫情防控期间严格执行登记问询制度，参加本项目投标的人员必须携带有效身份证件</w:t>
      </w:r>
      <w:r>
        <w:rPr>
          <w:rFonts w:hint="eastAsia" w:ascii="宋体" w:hAnsi="宋体"/>
          <w:b/>
          <w:bCs/>
          <w:sz w:val="21"/>
          <w:szCs w:val="21"/>
          <w:highlight w:val="none"/>
        </w:rPr>
        <w:t>原件</w:t>
      </w:r>
      <w:r>
        <w:rPr>
          <w:rFonts w:ascii="宋体" w:hAnsi="宋体"/>
          <w:b/>
          <w:bCs/>
          <w:sz w:val="21"/>
          <w:szCs w:val="21"/>
          <w:highlight w:val="none"/>
        </w:rPr>
        <w:t>，规范佩戴口罩，接受实名登记，同时提供行程码</w:t>
      </w:r>
      <w:bookmarkStart w:id="16" w:name="_Hlk86590838"/>
      <w:r>
        <w:rPr>
          <w:rFonts w:hint="eastAsia" w:ascii="宋体" w:hAnsi="宋体"/>
          <w:b/>
          <w:bCs/>
          <w:sz w:val="21"/>
          <w:szCs w:val="21"/>
          <w:highlight w:val="none"/>
        </w:rPr>
        <w:t>（绿码）</w:t>
      </w:r>
      <w:bookmarkEnd w:id="16"/>
      <w:r>
        <w:rPr>
          <w:rFonts w:ascii="宋体" w:hAnsi="宋体"/>
          <w:b/>
          <w:bCs/>
          <w:sz w:val="21"/>
          <w:szCs w:val="21"/>
          <w:highlight w:val="none"/>
        </w:rPr>
        <w:t>、苏康码</w:t>
      </w:r>
      <w:r>
        <w:rPr>
          <w:rFonts w:hint="eastAsia" w:ascii="宋体" w:hAnsi="宋体"/>
          <w:b/>
          <w:bCs/>
          <w:sz w:val="21"/>
          <w:szCs w:val="21"/>
          <w:highlight w:val="none"/>
        </w:rPr>
        <w:t>（绿码）</w:t>
      </w:r>
      <w:r>
        <w:rPr>
          <w:rFonts w:ascii="宋体" w:hAnsi="宋体"/>
          <w:b/>
          <w:bCs/>
          <w:sz w:val="21"/>
          <w:szCs w:val="21"/>
          <w:highlight w:val="none"/>
        </w:rPr>
        <w:t>。来自或经停过中高风险地区所在设区市的“绿码”人员，另须提供48小时内有效核酸检测报告。行程码、苏康码必须显示绿色，核酸检测报告阴性方能参加开标。</w:t>
      </w:r>
      <w:r>
        <w:rPr>
          <w:rFonts w:hint="eastAsia" w:ascii="宋体" w:hAnsi="宋体"/>
          <w:b/>
          <w:bCs/>
          <w:sz w:val="21"/>
          <w:szCs w:val="21"/>
          <w:highlight w:val="none"/>
          <w:lang w:val="en-US" w:eastAsia="zh-CN"/>
        </w:rPr>
        <w:t>若因此未能参加开标，一切责任均由投标人自行承担。</w:t>
      </w:r>
      <w:r>
        <w:rPr>
          <w:rFonts w:ascii="宋体" w:hAnsi="宋体"/>
          <w:b/>
          <w:bCs/>
          <w:sz w:val="21"/>
          <w:szCs w:val="21"/>
          <w:highlight w:val="none"/>
        </w:rPr>
        <w:t>请自觉服从和配合现场工作人员调度安排，并在交易活动现场注意与他人保持安全距离、减少逗留时间。投标</w:t>
      </w:r>
      <w:r>
        <w:rPr>
          <w:rFonts w:hint="eastAsia" w:ascii="宋体" w:hAnsi="宋体"/>
          <w:b/>
          <w:bCs/>
          <w:sz w:val="21"/>
          <w:szCs w:val="21"/>
          <w:highlight w:val="none"/>
        </w:rPr>
        <w:t>人</w:t>
      </w:r>
      <w:r>
        <w:rPr>
          <w:rFonts w:ascii="宋体" w:hAnsi="宋体"/>
          <w:b/>
          <w:bCs/>
          <w:sz w:val="21"/>
          <w:szCs w:val="21"/>
          <w:highlight w:val="none"/>
        </w:rPr>
        <w:t>须严格执行南通市疾病预防控制中心和新冠肺炎疫情防控指挥部有关疫情防控最新要求，做好疫情防控工作。</w:t>
      </w:r>
    </w:p>
    <w:p>
      <w:pPr>
        <w:spacing w:line="360" w:lineRule="auto"/>
        <w:ind w:firstLine="422" w:firstLineChars="200"/>
        <w:jc w:val="left"/>
        <w:rPr>
          <w:rFonts w:ascii="宋体" w:hAnsi="宋体" w:cs="宋体"/>
          <w:color w:val="auto"/>
          <w:highlight w:val="none"/>
        </w:rPr>
      </w:pPr>
      <w:r>
        <w:rPr>
          <w:rFonts w:hint="eastAsia" w:ascii="宋体" w:hAnsi="宋体" w:cs="宋体"/>
          <w:b/>
          <w:color w:val="auto"/>
          <w:highlight w:val="none"/>
        </w:rPr>
        <w:t xml:space="preserve">6. </w:t>
      </w:r>
      <w:r>
        <w:rPr>
          <w:rFonts w:hint="eastAsia" w:ascii="宋体" w:hAnsi="宋体" w:cs="宋体"/>
          <w:b/>
          <w:color w:val="auto"/>
          <w:spacing w:val="4"/>
          <w:highlight w:val="none"/>
        </w:rPr>
        <w:t>发布公告的媒介</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本次招标公告发布在南通市公共资源交易网（http://zfcg.nantong.gov.cn/）、南通沿海开发集团网（http://www.ncd-group.com/）上。南通市公共资源交易网、南通沿海开发集团网是本项目招标公告、招标文件澄清、中标公告等招标信息约定的公开发布媒介。</w:t>
      </w:r>
    </w:p>
    <w:p>
      <w:pPr>
        <w:spacing w:line="360" w:lineRule="auto"/>
        <w:jc w:val="left"/>
        <w:rPr>
          <w:rFonts w:ascii="宋体" w:hAnsi="宋体" w:cs="宋体"/>
          <w:b/>
          <w:color w:val="auto"/>
          <w:highlight w:val="none"/>
        </w:rPr>
      </w:pPr>
      <w:r>
        <w:rPr>
          <w:rFonts w:hint="eastAsia" w:ascii="宋体" w:hAnsi="宋体" w:cs="宋体"/>
          <w:b/>
          <w:color w:val="auto"/>
          <w:highlight w:val="none"/>
        </w:rPr>
        <w:t xml:space="preserve">7. </w:t>
      </w:r>
      <w:r>
        <w:rPr>
          <w:rFonts w:hint="eastAsia" w:ascii="宋体" w:hAnsi="宋体" w:cs="宋体"/>
          <w:b/>
          <w:color w:val="auto"/>
          <w:spacing w:val="4"/>
          <w:highlight w:val="none"/>
        </w:rPr>
        <w:t>联系方式</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招 标 人：南通洋吕铁路开发建设有限公司</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地    址：江苏省南通市崇文路1号南通市启瑞广场33楼</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联 系 人：</w:t>
      </w:r>
      <w:r>
        <w:rPr>
          <w:rFonts w:hint="eastAsia" w:ascii="宋体" w:hAnsi="宋体" w:cs="宋体"/>
          <w:color w:val="auto"/>
          <w:highlight w:val="none"/>
          <w:lang w:val="en-US" w:eastAsia="zh-CN"/>
        </w:rPr>
        <w:t>吴鹏</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联系方式：</w:t>
      </w:r>
      <w:r>
        <w:rPr>
          <w:rFonts w:hint="eastAsia" w:ascii="宋体" w:hAnsi="宋体" w:cs="宋体"/>
          <w:color w:val="auto"/>
          <w:highlight w:val="none"/>
          <w:lang w:val="en-US" w:eastAsia="zh-CN"/>
        </w:rPr>
        <w:t>0513-69962020</w:t>
      </w:r>
    </w:p>
    <w:p>
      <w:pPr>
        <w:spacing w:line="360" w:lineRule="auto"/>
        <w:ind w:firstLine="420" w:firstLineChars="200"/>
        <w:jc w:val="left"/>
        <w:rPr>
          <w:rFonts w:ascii="宋体" w:hAnsi="宋体" w:cs="宋体"/>
          <w:color w:val="auto"/>
          <w:highlight w:val="none"/>
        </w:rPr>
      </w:pP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招标代理：中诚工程建设管理（苏州）股份有限公司</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地    址：南通市崇川区钟秀中路128号1幢1305室</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联 系 人：周婧、吕俊峰</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联系方式：18906275318（周婧），18550663166（吕俊峰）</w:t>
      </w:r>
    </w:p>
    <w:p>
      <w:pPr>
        <w:spacing w:line="360" w:lineRule="auto"/>
        <w:jc w:val="left"/>
        <w:rPr>
          <w:rFonts w:ascii="宋体" w:hAnsi="宋体" w:cs="宋体"/>
          <w:b/>
          <w:color w:val="auto"/>
          <w:spacing w:val="4"/>
          <w:highlight w:val="none"/>
        </w:rPr>
      </w:pPr>
      <w:r>
        <w:rPr>
          <w:rFonts w:hint="eastAsia" w:ascii="宋体" w:hAnsi="宋体" w:cs="宋体"/>
          <w:b/>
          <w:color w:val="auto"/>
          <w:highlight w:val="none"/>
        </w:rPr>
        <w:t xml:space="preserve">8. </w:t>
      </w:r>
      <w:r>
        <w:rPr>
          <w:rFonts w:hint="eastAsia" w:ascii="宋体" w:hAnsi="宋体" w:cs="宋体"/>
          <w:b/>
          <w:color w:val="auto"/>
          <w:spacing w:val="4"/>
          <w:highlight w:val="none"/>
        </w:rPr>
        <w:t>其他</w:t>
      </w:r>
    </w:p>
    <w:p>
      <w:pPr>
        <w:spacing w:line="360" w:lineRule="auto"/>
        <w:ind w:firstLine="420" w:firstLineChars="200"/>
        <w:jc w:val="left"/>
        <w:rPr>
          <w:rFonts w:ascii="宋体" w:hAnsi="宋体" w:cs="宋体"/>
          <w:color w:val="auto"/>
          <w:highlight w:val="none"/>
        </w:rPr>
      </w:pPr>
      <w:bookmarkStart w:id="17" w:name="_Hlk47688266"/>
      <w:r>
        <w:rPr>
          <w:rFonts w:hint="eastAsia" w:ascii="宋体" w:hAnsi="宋体" w:cs="宋体"/>
          <w:color w:val="auto"/>
          <w:highlight w:val="none"/>
        </w:rPr>
        <w:t>已预约或者领取招标文件的投标人，不得擅自放弃投标，若因故确需放弃，则须在投标截止之日3天前书面告知招标人，如无故不参加投标而造成投标人不足3家而重新招标的，若重新招标的招标范围、规模和资格要求等未发生改变，招标人可以拒绝其参加重新招标的投标。</w:t>
      </w:r>
    </w:p>
    <w:p>
      <w:pPr>
        <w:spacing w:line="360" w:lineRule="auto"/>
        <w:jc w:val="left"/>
        <w:rPr>
          <w:rFonts w:ascii="宋体" w:hAnsi="宋体" w:cs="宋体"/>
          <w:color w:val="auto"/>
          <w:spacing w:val="4"/>
          <w:highlight w:val="none"/>
        </w:rPr>
      </w:pPr>
      <w:r>
        <w:rPr>
          <w:rFonts w:hint="eastAsia" w:ascii="宋体" w:hAnsi="宋体" w:cs="宋体"/>
          <w:color w:val="auto"/>
          <w:spacing w:val="4"/>
          <w:highlight w:val="none"/>
        </w:rPr>
        <w:t xml:space="preserve">                                                     </w:t>
      </w:r>
      <w:r>
        <w:rPr>
          <w:rFonts w:hint="eastAsia" w:ascii="宋体" w:hAnsi="宋体" w:cs="宋体"/>
          <w:color w:val="auto"/>
          <w:spacing w:val="4"/>
          <w:highlight w:val="none"/>
        </w:rPr>
        <w:fldChar w:fldCharType="begin"/>
      </w:r>
      <w:r>
        <w:rPr>
          <w:rFonts w:hint="eastAsia" w:ascii="宋体" w:hAnsi="宋体" w:cs="宋体"/>
          <w:color w:val="auto"/>
          <w:spacing w:val="4"/>
          <w:highlight w:val="none"/>
        </w:rPr>
        <w:instrText xml:space="preserve"> TIME \@ "EEEE年O月" </w:instrText>
      </w:r>
      <w:r>
        <w:rPr>
          <w:rFonts w:hint="eastAsia" w:ascii="宋体" w:hAnsi="宋体" w:cs="宋体"/>
          <w:color w:val="auto"/>
          <w:spacing w:val="4"/>
          <w:highlight w:val="none"/>
        </w:rPr>
        <w:fldChar w:fldCharType="separate"/>
      </w:r>
      <w:r>
        <w:rPr>
          <w:rFonts w:hint="eastAsia" w:ascii="宋体" w:hAnsi="宋体" w:cs="宋体"/>
          <w:color w:val="auto"/>
          <w:spacing w:val="4"/>
          <w:highlight w:val="none"/>
        </w:rPr>
        <w:t>二〇二一年十二月</w:t>
      </w:r>
      <w:r>
        <w:rPr>
          <w:rFonts w:hint="eastAsia" w:ascii="宋体" w:hAnsi="宋体" w:cs="宋体"/>
          <w:color w:val="auto"/>
          <w:spacing w:val="4"/>
          <w:highlight w:val="none"/>
        </w:rPr>
        <w:fldChar w:fldCharType="end"/>
      </w:r>
      <w:r>
        <w:rPr>
          <w:rFonts w:hint="eastAsia" w:ascii="宋体" w:hAnsi="宋体" w:cs="宋体"/>
          <w:color w:val="auto"/>
          <w:spacing w:val="4"/>
          <w:highlight w:val="none"/>
          <w:lang w:val="en-US" w:eastAsia="zh-CN"/>
        </w:rPr>
        <w:t>二</w:t>
      </w:r>
      <w:r>
        <w:rPr>
          <w:rFonts w:hint="eastAsia" w:ascii="宋体" w:hAnsi="宋体" w:cs="宋体"/>
          <w:color w:val="auto"/>
          <w:spacing w:val="4"/>
          <w:highlight w:val="none"/>
        </w:rPr>
        <w:t>日</w:t>
      </w:r>
    </w:p>
    <w:bookmarkEnd w:id="17"/>
    <w:p>
      <w:pPr>
        <w:spacing w:line="360" w:lineRule="auto"/>
        <w:ind w:firstLine="420" w:firstLineChars="200"/>
        <w:jc w:val="left"/>
        <w:rPr>
          <w:rFonts w:ascii="宋体" w:hAnsi="宋体" w:cs="宋体"/>
          <w:bCs/>
          <w:color w:val="auto"/>
          <w:highlight w:val="none"/>
        </w:rPr>
      </w:pPr>
      <w:r>
        <w:rPr>
          <w:rFonts w:hint="eastAsia" w:ascii="宋体" w:hAnsi="宋体" w:cs="宋体"/>
          <w:color w:val="auto"/>
          <w:kern w:val="0"/>
          <w:highlight w:val="none"/>
        </w:rPr>
        <w:t>注：上述时间均为北京时间。具体事宜请与招标代理联系。</w:t>
      </w:r>
    </w:p>
    <w:p>
      <w:pPr>
        <w:rPr>
          <w:rFonts w:cs="黑体"/>
          <w:color w:val="auto"/>
          <w:highlight w:val="none"/>
        </w:rPr>
      </w:pPr>
      <w:r>
        <w:rPr>
          <w:rFonts w:hint="eastAsia" w:cs="黑体"/>
          <w:color w:val="auto"/>
          <w:highlight w:val="none"/>
        </w:rPr>
        <w:br w:type="page"/>
      </w:r>
    </w:p>
    <w:p>
      <w:pPr>
        <w:pStyle w:val="4"/>
        <w:spacing w:before="120" w:beforeLines="50" w:after="120" w:afterLines="50" w:line="240" w:lineRule="auto"/>
        <w:jc w:val="center"/>
        <w:rPr>
          <w:rFonts w:cs="宋体"/>
          <w:color w:val="auto"/>
          <w:sz w:val="24"/>
          <w:szCs w:val="24"/>
          <w:highlight w:val="none"/>
        </w:rPr>
      </w:pPr>
      <w:bookmarkStart w:id="18" w:name="_Toc5528"/>
      <w:r>
        <w:rPr>
          <w:rFonts w:hint="eastAsia" w:cs="黑体"/>
          <w:b w:val="0"/>
          <w:bCs w:val="0"/>
          <w:color w:val="auto"/>
          <w:highlight w:val="none"/>
        </w:rPr>
        <w:t>第二章投标人须知</w:t>
      </w:r>
      <w:bookmarkEnd w:id="4"/>
      <w:bookmarkEnd w:id="5"/>
      <w:bookmarkEnd w:id="6"/>
      <w:bookmarkEnd w:id="7"/>
      <w:bookmarkEnd w:id="8"/>
      <w:bookmarkEnd w:id="9"/>
      <w:bookmarkEnd w:id="10"/>
      <w:bookmarkEnd w:id="11"/>
      <w:bookmarkEnd w:id="12"/>
      <w:bookmarkEnd w:id="13"/>
      <w:bookmarkEnd w:id="14"/>
      <w:bookmarkEnd w:id="15"/>
      <w:bookmarkEnd w:id="18"/>
      <w:bookmarkStart w:id="19" w:name="_Toc152045528"/>
      <w:bookmarkStart w:id="20" w:name="_Toc152042304"/>
      <w:bookmarkStart w:id="21" w:name="_Toc460366496"/>
      <w:bookmarkStart w:id="22" w:name="_Toc12135"/>
      <w:bookmarkStart w:id="23" w:name="_Toc144974496"/>
      <w:bookmarkStart w:id="24" w:name="_Toc234744443"/>
      <w:bookmarkStart w:id="25" w:name="_Toc238559184"/>
      <w:bookmarkStart w:id="26" w:name="_Toc234675075"/>
      <w:bookmarkStart w:id="27" w:name="_Toc179632545"/>
    </w:p>
    <w:p>
      <w:pPr>
        <w:adjustRightInd w:val="0"/>
        <w:snapToGrid w:val="0"/>
        <w:spacing w:line="360" w:lineRule="auto"/>
        <w:ind w:left="228" w:right="-20"/>
        <w:jc w:val="center"/>
        <w:rPr>
          <w:rFonts w:cs="宋体"/>
          <w:color w:val="auto"/>
          <w:sz w:val="24"/>
          <w:szCs w:val="24"/>
          <w:highlight w:val="none"/>
        </w:rPr>
      </w:pPr>
      <w:r>
        <w:rPr>
          <w:rFonts w:hint="eastAsia" w:cs="宋体"/>
          <w:color w:val="auto"/>
          <w:spacing w:val="2"/>
          <w:position w:val="-3"/>
          <w:sz w:val="24"/>
          <w:szCs w:val="24"/>
          <w:highlight w:val="none"/>
        </w:rPr>
        <w:t>投标人须知前附</w:t>
      </w:r>
      <w:r>
        <w:rPr>
          <w:rFonts w:hint="eastAsia" w:cs="宋体"/>
          <w:color w:val="auto"/>
          <w:spacing w:val="1"/>
          <w:position w:val="-3"/>
          <w:sz w:val="24"/>
          <w:szCs w:val="24"/>
          <w:highlight w:val="none"/>
        </w:rPr>
        <w:t>表</w:t>
      </w:r>
    </w:p>
    <w:tbl>
      <w:tblPr>
        <w:tblStyle w:val="52"/>
        <w:tblW w:w="503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03"/>
        <w:gridCol w:w="1767"/>
        <w:gridCol w:w="5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条款号</w:t>
            </w:r>
          </w:p>
        </w:tc>
        <w:tc>
          <w:tcPr>
            <w:tcW w:w="938" w:type="pct"/>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条款名称</w:t>
            </w:r>
          </w:p>
        </w:tc>
        <w:tc>
          <w:tcPr>
            <w:tcW w:w="3158" w:type="pct"/>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1.1.2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招标人</w:t>
            </w:r>
          </w:p>
        </w:tc>
        <w:tc>
          <w:tcPr>
            <w:tcW w:w="3158" w:type="pct"/>
            <w:vAlign w:val="center"/>
          </w:tcPr>
          <w:p>
            <w:pPr>
              <w:spacing w:line="340" w:lineRule="exact"/>
              <w:rPr>
                <w:rFonts w:ascii="宋体" w:hAnsi="宋体" w:cs="宋体"/>
                <w:color w:val="auto"/>
                <w:highlight w:val="none"/>
              </w:rPr>
            </w:pPr>
            <w:r>
              <w:rPr>
                <w:rFonts w:hint="eastAsia" w:ascii="宋体" w:hAnsi="宋体" w:cs="宋体"/>
                <w:color w:val="auto"/>
                <w:highlight w:val="none"/>
              </w:rPr>
              <w:t>招 标 人：南通洋吕铁路开发建设有限公司</w:t>
            </w:r>
          </w:p>
          <w:p>
            <w:pPr>
              <w:spacing w:line="340" w:lineRule="exact"/>
              <w:rPr>
                <w:rFonts w:ascii="宋体" w:hAnsi="宋体" w:cs="宋体"/>
                <w:color w:val="auto"/>
                <w:highlight w:val="none"/>
              </w:rPr>
            </w:pPr>
            <w:r>
              <w:rPr>
                <w:rFonts w:hint="eastAsia" w:ascii="宋体" w:hAnsi="宋体" w:cs="宋体"/>
                <w:color w:val="auto"/>
                <w:highlight w:val="none"/>
              </w:rPr>
              <w:t>地    址：江苏省南通市崇文路1号南通市启瑞广场33楼</w:t>
            </w:r>
          </w:p>
          <w:p>
            <w:pPr>
              <w:spacing w:line="340" w:lineRule="exact"/>
              <w:rPr>
                <w:rFonts w:ascii="宋体" w:hAnsi="宋体" w:cs="宋体"/>
                <w:color w:val="auto"/>
                <w:highlight w:val="none"/>
              </w:rPr>
            </w:pPr>
            <w:r>
              <w:rPr>
                <w:rFonts w:hint="eastAsia" w:ascii="宋体" w:hAnsi="宋体" w:cs="宋体"/>
                <w:color w:val="auto"/>
                <w:highlight w:val="none"/>
              </w:rPr>
              <w:t>联 系 人：</w:t>
            </w:r>
            <w:r>
              <w:rPr>
                <w:rFonts w:hint="eastAsia" w:ascii="宋体" w:hAnsi="宋体" w:cs="宋体"/>
                <w:color w:val="auto"/>
                <w:highlight w:val="none"/>
                <w:lang w:val="en-US" w:eastAsia="zh-CN"/>
              </w:rPr>
              <w:t>吴鹏</w:t>
            </w:r>
          </w:p>
          <w:p>
            <w:pPr>
              <w:spacing w:line="340" w:lineRule="exact"/>
              <w:rPr>
                <w:rFonts w:cs="宋体"/>
                <w:color w:val="auto"/>
                <w:spacing w:val="4"/>
                <w:highlight w:val="none"/>
              </w:rPr>
            </w:pPr>
            <w:r>
              <w:rPr>
                <w:rFonts w:hint="eastAsia" w:ascii="宋体" w:hAnsi="宋体" w:cs="宋体"/>
                <w:color w:val="auto"/>
                <w:highlight w:val="none"/>
              </w:rPr>
              <w:t>联系方式：</w:t>
            </w:r>
            <w:r>
              <w:rPr>
                <w:rFonts w:hint="eastAsia" w:ascii="宋体" w:hAnsi="宋体" w:cs="宋体"/>
                <w:color w:val="auto"/>
                <w:highlight w:val="none"/>
                <w:lang w:val="en-US" w:eastAsia="zh-CN"/>
              </w:rPr>
              <w:t>0513-69962020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1.1.3</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招标代理机构</w:t>
            </w:r>
          </w:p>
        </w:tc>
        <w:tc>
          <w:tcPr>
            <w:tcW w:w="3158" w:type="pct"/>
            <w:vAlign w:val="center"/>
          </w:tcPr>
          <w:p>
            <w:pPr>
              <w:spacing w:line="340" w:lineRule="exact"/>
              <w:rPr>
                <w:rFonts w:ascii="宋体" w:hAnsi="宋体" w:cs="宋体"/>
                <w:color w:val="auto"/>
                <w:highlight w:val="none"/>
              </w:rPr>
            </w:pPr>
            <w:r>
              <w:rPr>
                <w:rFonts w:hint="eastAsia" w:ascii="宋体" w:hAnsi="宋体" w:cs="宋体"/>
                <w:color w:val="auto"/>
                <w:highlight w:val="none"/>
              </w:rPr>
              <w:t>招标代理：中诚工程建设管理（苏州）股份有限公司</w:t>
            </w:r>
          </w:p>
          <w:p>
            <w:pPr>
              <w:spacing w:line="340" w:lineRule="exact"/>
              <w:rPr>
                <w:rFonts w:ascii="宋体" w:hAnsi="宋体" w:cs="宋体"/>
                <w:color w:val="auto"/>
                <w:highlight w:val="none"/>
              </w:rPr>
            </w:pPr>
            <w:r>
              <w:rPr>
                <w:rFonts w:hint="eastAsia" w:ascii="宋体" w:hAnsi="宋体" w:cs="宋体"/>
                <w:color w:val="auto"/>
                <w:highlight w:val="none"/>
              </w:rPr>
              <w:t>地    址：南通市崇川区钟秀中路128号1幢1305室</w:t>
            </w:r>
          </w:p>
          <w:p>
            <w:pPr>
              <w:spacing w:line="340" w:lineRule="exact"/>
              <w:rPr>
                <w:rFonts w:ascii="宋体" w:hAnsi="宋体" w:cs="宋体"/>
                <w:color w:val="auto"/>
                <w:highlight w:val="none"/>
              </w:rPr>
            </w:pPr>
            <w:r>
              <w:rPr>
                <w:rFonts w:hint="eastAsia" w:ascii="宋体" w:hAnsi="宋体" w:cs="宋体"/>
                <w:color w:val="auto"/>
                <w:highlight w:val="none"/>
              </w:rPr>
              <w:t>联系人：周婧、吕俊峰</w:t>
            </w:r>
          </w:p>
          <w:p>
            <w:pPr>
              <w:spacing w:line="340" w:lineRule="exact"/>
              <w:rPr>
                <w:rFonts w:ascii="宋体" w:hAnsi="宋体" w:cs="宋体"/>
                <w:color w:val="auto"/>
                <w:highlight w:val="none"/>
              </w:rPr>
            </w:pPr>
            <w:r>
              <w:rPr>
                <w:rFonts w:hint="eastAsia" w:ascii="宋体" w:hAnsi="宋体" w:cs="宋体"/>
                <w:color w:val="auto"/>
                <w:highlight w:val="none"/>
              </w:rPr>
              <w:t>电话：18906275318（周婧），18550663166（吕俊峰）</w:t>
            </w:r>
          </w:p>
          <w:p>
            <w:pPr>
              <w:spacing w:line="340" w:lineRule="exact"/>
              <w:rPr>
                <w:rFonts w:cs="宋体"/>
                <w:color w:val="auto"/>
                <w:spacing w:val="4"/>
                <w:highlight w:val="none"/>
              </w:rPr>
            </w:pPr>
            <w:r>
              <w:rPr>
                <w:rFonts w:hint="eastAsia" w:ascii="宋体" w:hAnsi="宋体" w:cs="宋体"/>
                <w:color w:val="auto"/>
                <w:highlight w:val="none"/>
              </w:rPr>
              <w:t>邮编：226001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1.1.4</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招标项目名称</w:t>
            </w:r>
          </w:p>
        </w:tc>
        <w:tc>
          <w:tcPr>
            <w:tcW w:w="3158" w:type="pct"/>
          </w:tcPr>
          <w:p>
            <w:pPr>
              <w:widowControl/>
              <w:adjustRightInd w:val="0"/>
              <w:snapToGrid w:val="0"/>
              <w:spacing w:line="360" w:lineRule="auto"/>
              <w:jc w:val="left"/>
              <w:rPr>
                <w:rFonts w:cs="宋体"/>
                <w:color w:val="auto"/>
                <w:highlight w:val="none"/>
              </w:rPr>
            </w:pPr>
            <w:r>
              <w:rPr>
                <w:rFonts w:hint="eastAsia" w:cs="宋体"/>
                <w:color w:val="auto"/>
                <w:spacing w:val="4"/>
                <w:highlight w:val="none"/>
              </w:rPr>
              <w:t>东灶港站物流配套项目甲供土方运输项目施工项目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1.1.5</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标段建设地点</w:t>
            </w:r>
          </w:p>
        </w:tc>
        <w:tc>
          <w:tcPr>
            <w:tcW w:w="3158" w:type="pct"/>
          </w:tcPr>
          <w:p>
            <w:pPr>
              <w:widowControl/>
              <w:adjustRightInd w:val="0"/>
              <w:snapToGrid w:val="0"/>
              <w:spacing w:line="360" w:lineRule="auto"/>
              <w:rPr>
                <w:rFonts w:cs="宋体"/>
                <w:color w:val="auto"/>
                <w:highlight w:val="none"/>
              </w:rPr>
            </w:pPr>
            <w:r>
              <w:rPr>
                <w:rFonts w:hint="eastAsia" w:cs="宋体"/>
                <w:color w:val="auto"/>
                <w:highlight w:val="none"/>
              </w:rPr>
              <w:t>南通市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1.2.1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资金来源及比例</w:t>
            </w:r>
          </w:p>
        </w:tc>
        <w:tc>
          <w:tcPr>
            <w:tcW w:w="3158" w:type="pct"/>
          </w:tcPr>
          <w:p>
            <w:pPr>
              <w:widowControl/>
              <w:adjustRightInd w:val="0"/>
              <w:snapToGrid w:val="0"/>
              <w:spacing w:line="360" w:lineRule="auto"/>
              <w:rPr>
                <w:rFonts w:cs="宋体"/>
                <w:color w:val="auto"/>
                <w:highlight w:val="none"/>
              </w:rPr>
            </w:pPr>
            <w:r>
              <w:rPr>
                <w:rFonts w:hint="eastAsia" w:cs="宋体"/>
                <w:color w:val="auto"/>
                <w:highlight w:val="none"/>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1.2.2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资金落实情况</w:t>
            </w:r>
          </w:p>
        </w:tc>
        <w:tc>
          <w:tcPr>
            <w:tcW w:w="3158" w:type="pct"/>
          </w:tcPr>
          <w:p>
            <w:pPr>
              <w:widowControl/>
              <w:adjustRightInd w:val="0"/>
              <w:snapToGrid w:val="0"/>
              <w:spacing w:line="360" w:lineRule="auto"/>
              <w:jc w:val="left"/>
              <w:rPr>
                <w:rFonts w:cs="宋体"/>
                <w:color w:val="auto"/>
                <w:highlight w:val="none"/>
              </w:rPr>
            </w:pPr>
            <w:r>
              <w:rPr>
                <w:rFonts w:hint="eastAsia" w:cs="宋体"/>
                <w:color w:val="auto"/>
                <w:spacing w:val="4"/>
                <w:highlight w:val="none"/>
              </w:rPr>
              <w:t>已落实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1.3.1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招标范围</w:t>
            </w:r>
          </w:p>
        </w:tc>
        <w:tc>
          <w:tcPr>
            <w:tcW w:w="3158" w:type="pct"/>
          </w:tcPr>
          <w:p>
            <w:pPr>
              <w:widowControl/>
              <w:adjustRightInd w:val="0"/>
              <w:snapToGrid w:val="0"/>
              <w:spacing w:line="360" w:lineRule="auto"/>
              <w:jc w:val="left"/>
              <w:rPr>
                <w:rFonts w:cs="宋体"/>
                <w:color w:val="auto"/>
                <w:highlight w:val="none"/>
              </w:rPr>
            </w:pPr>
            <w:r>
              <w:rPr>
                <w:rFonts w:hint="eastAsia" w:cs="宋体"/>
                <w:color w:val="auto"/>
                <w:spacing w:val="4"/>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1.3.2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计划工期</w:t>
            </w:r>
          </w:p>
        </w:tc>
        <w:tc>
          <w:tcPr>
            <w:tcW w:w="3158" w:type="pct"/>
          </w:tcPr>
          <w:p>
            <w:pPr>
              <w:widowControl/>
              <w:adjustRightInd w:val="0"/>
              <w:snapToGrid w:val="0"/>
              <w:spacing w:line="360" w:lineRule="auto"/>
              <w:jc w:val="left"/>
              <w:rPr>
                <w:color w:val="auto"/>
                <w:highlight w:val="none"/>
              </w:rPr>
            </w:pPr>
            <w:r>
              <w:rPr>
                <w:rFonts w:hint="eastAsia"/>
                <w:color w:val="auto"/>
                <w:highlight w:val="none"/>
              </w:rPr>
              <w:t>施工工期一年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1.3.3</w:t>
            </w:r>
          </w:p>
        </w:tc>
        <w:tc>
          <w:tcPr>
            <w:tcW w:w="938" w:type="pct"/>
            <w:vAlign w:val="center"/>
          </w:tcPr>
          <w:p>
            <w:pPr>
              <w:widowControl/>
              <w:adjustRightInd w:val="0"/>
              <w:snapToGrid w:val="0"/>
              <w:spacing w:line="360" w:lineRule="auto"/>
              <w:jc w:val="center"/>
              <w:rPr>
                <w:rFonts w:cs="宋体"/>
                <w:color w:val="auto"/>
                <w:highlight w:val="none"/>
              </w:rPr>
            </w:pPr>
            <w:bookmarkStart w:id="28" w:name="_Hlk44357810"/>
            <w:r>
              <w:rPr>
                <w:rFonts w:hint="eastAsia" w:cs="宋体"/>
                <w:color w:val="auto"/>
                <w:kern w:val="0"/>
                <w:highlight w:val="none"/>
              </w:rPr>
              <w:t>质量要求</w:t>
            </w:r>
            <w:bookmarkEnd w:id="28"/>
          </w:p>
        </w:tc>
        <w:tc>
          <w:tcPr>
            <w:tcW w:w="3158" w:type="pct"/>
          </w:tcPr>
          <w:p>
            <w:pPr>
              <w:widowControl/>
              <w:adjustRightInd w:val="0"/>
              <w:snapToGrid w:val="0"/>
              <w:spacing w:line="360" w:lineRule="auto"/>
              <w:jc w:val="left"/>
              <w:rPr>
                <w:rFonts w:cs="宋体"/>
                <w:color w:val="auto"/>
                <w:highlight w:val="none"/>
              </w:rPr>
            </w:pPr>
            <w:r>
              <w:rPr>
                <w:rFonts w:hint="eastAsia"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1.3.4</w:t>
            </w:r>
          </w:p>
        </w:tc>
        <w:tc>
          <w:tcPr>
            <w:tcW w:w="938" w:type="pct"/>
            <w:vAlign w:val="center"/>
          </w:tcPr>
          <w:p>
            <w:pPr>
              <w:widowControl/>
              <w:adjustRightInd w:val="0"/>
              <w:snapToGrid w:val="0"/>
              <w:spacing w:line="360" w:lineRule="auto"/>
              <w:jc w:val="center"/>
              <w:rPr>
                <w:rFonts w:cs="宋体"/>
                <w:color w:val="auto"/>
                <w:highlight w:val="none"/>
              </w:rPr>
            </w:pPr>
            <w:bookmarkStart w:id="29" w:name="_Hlk44357827"/>
            <w:r>
              <w:rPr>
                <w:rFonts w:hint="eastAsia" w:cs="宋体"/>
                <w:color w:val="auto"/>
                <w:kern w:val="0"/>
                <w:highlight w:val="none"/>
              </w:rPr>
              <w:t>安全目标</w:t>
            </w:r>
            <w:bookmarkEnd w:id="29"/>
          </w:p>
        </w:tc>
        <w:tc>
          <w:tcPr>
            <w:tcW w:w="3158" w:type="pct"/>
          </w:tcPr>
          <w:p>
            <w:pPr>
              <w:widowControl/>
              <w:adjustRightInd w:val="0"/>
              <w:snapToGrid w:val="0"/>
              <w:spacing w:line="360" w:lineRule="auto"/>
              <w:jc w:val="left"/>
              <w:rPr>
                <w:rFonts w:cs="宋体"/>
                <w:color w:val="auto"/>
                <w:highlight w:val="none"/>
              </w:rPr>
            </w:pPr>
            <w:r>
              <w:rPr>
                <w:rFonts w:hint="eastAsia" w:cs="宋体"/>
                <w:color w:val="auto"/>
                <w:highlight w:val="none"/>
              </w:rPr>
              <w:t>安全生产无责任事故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1.4.1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投标人资质条件、能力和信誉</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详见招标公告。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1.4.2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是否接受联合体投标</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□接受</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sym w:font="Wingdings 2" w:char="0052"/>
            </w:r>
            <w:r>
              <w:rPr>
                <w:rFonts w:hint="eastAsia" w:cs="宋体"/>
                <w:color w:val="auto"/>
                <w:kern w:val="0"/>
                <w:highlight w:val="none"/>
              </w:rPr>
              <w:t>不接受</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若接受，应满足下列要求：</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（1）联合体所有成员数量不得超过家；</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（2）联合体牵头人应具有资质；</w:t>
            </w:r>
          </w:p>
          <w:p>
            <w:pPr>
              <w:widowControl/>
              <w:adjustRightInd w:val="0"/>
              <w:snapToGrid w:val="0"/>
              <w:spacing w:line="360" w:lineRule="auto"/>
              <w:jc w:val="left"/>
              <w:rPr>
                <w:rFonts w:cs="宋体"/>
                <w:color w:val="auto"/>
                <w:highlight w:val="none"/>
              </w:rPr>
            </w:pPr>
            <w:r>
              <w:rPr>
                <w:rFonts w:hint="eastAsia" w:cs="宋体"/>
                <w:color w:val="auto"/>
                <w:kern w:val="0"/>
                <w:highlight w:val="none"/>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highlight w:val="none"/>
              </w:rPr>
              <w:t>1.4.3</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highlight w:val="none"/>
              </w:rPr>
              <w:t>投标人不得存在的其他关联情形</w:t>
            </w:r>
          </w:p>
        </w:tc>
        <w:tc>
          <w:tcPr>
            <w:tcW w:w="3158" w:type="pct"/>
          </w:tcPr>
          <w:p>
            <w:pPr>
              <w:widowControl/>
              <w:adjustRightInd w:val="0"/>
              <w:snapToGrid w:val="0"/>
              <w:spacing w:line="360" w:lineRule="auto"/>
              <w:jc w:val="left"/>
              <w:rPr>
                <w:rFonts w:cs="宋体"/>
                <w:color w:val="auto"/>
                <w:highlight w:val="none"/>
              </w:rPr>
            </w:pPr>
            <w:r>
              <w:rPr>
                <w:rFonts w:hint="eastAsia" w:cs="宋体"/>
                <w:color w:val="auto"/>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1.4.4</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投标人不得存在的其他不良状况或不良信用记录</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1.10.2</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投标人在投标预备会前提出问题</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时间：</w:t>
            </w:r>
            <w:r>
              <w:rPr>
                <w:rFonts w:ascii="宋体" w:hAnsi="宋体" w:cs="宋体"/>
                <w:color w:val="auto"/>
                <w:highlight w:val="none"/>
              </w:rPr>
              <w:t>/</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形式：</w:t>
            </w:r>
            <w:r>
              <w:rPr>
                <w:rFonts w:ascii="宋体" w:hAnsi="宋体" w:cs="宋体"/>
                <w:color w:val="auto"/>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1.11．1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分包</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□允许</w:t>
            </w:r>
          </w:p>
          <w:p>
            <w:pPr>
              <w:widowControl/>
              <w:adjustRightInd w:val="0"/>
              <w:snapToGrid w:val="0"/>
              <w:spacing w:line="360" w:lineRule="auto"/>
              <w:jc w:val="left"/>
              <w:rPr>
                <w:rFonts w:cs="宋体"/>
                <w:color w:val="auto"/>
                <w:highlight w:val="none"/>
              </w:rPr>
            </w:pPr>
            <w:bookmarkStart w:id="30" w:name="_Hlk44358528"/>
            <w:r>
              <w:rPr>
                <w:rFonts w:hint="eastAsia" w:cs="宋体"/>
                <w:color w:val="auto"/>
                <w:kern w:val="0"/>
                <w:highlight w:val="none"/>
              </w:rPr>
              <w:sym w:font="Wingdings 2" w:char="0052"/>
            </w:r>
            <w:bookmarkEnd w:id="30"/>
            <w:r>
              <w:rPr>
                <w:rFonts w:hint="eastAsia" w:cs="宋体"/>
                <w:color w:val="auto"/>
                <w:kern w:val="0"/>
                <w:highlight w:val="none"/>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构成招标文件的其他材料</w:t>
            </w:r>
          </w:p>
        </w:tc>
        <w:tc>
          <w:tcPr>
            <w:tcW w:w="3158" w:type="pct"/>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2.2.1</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投标人要求澄清招标文件</w:t>
            </w:r>
          </w:p>
        </w:tc>
        <w:tc>
          <w:tcPr>
            <w:tcW w:w="3158" w:type="pct"/>
          </w:tcPr>
          <w:p>
            <w:pPr>
              <w:spacing w:line="320" w:lineRule="exact"/>
              <w:rPr>
                <w:color w:val="auto"/>
                <w:highlight w:val="none"/>
              </w:rPr>
            </w:pPr>
            <w:r>
              <w:rPr>
                <w:rFonts w:hint="eastAsia"/>
                <w:color w:val="auto"/>
                <w:highlight w:val="none"/>
              </w:rPr>
              <w:t>时间：</w:t>
            </w:r>
            <w:r>
              <w:rPr>
                <w:rFonts w:hint="eastAsia"/>
                <w:color w:val="auto"/>
                <w:highlight w:val="none"/>
                <w:lang w:val="en-US" w:eastAsia="zh-CN"/>
              </w:rPr>
              <w:t>投标截止时间前10日</w:t>
            </w:r>
          </w:p>
          <w:p>
            <w:pPr>
              <w:widowControl/>
              <w:adjustRightInd w:val="0"/>
              <w:snapToGrid w:val="0"/>
              <w:spacing w:line="360" w:lineRule="auto"/>
              <w:jc w:val="left"/>
              <w:rPr>
                <w:rFonts w:cs="宋体"/>
                <w:color w:val="auto"/>
                <w:highlight w:val="none"/>
              </w:rPr>
            </w:pPr>
            <w:r>
              <w:rPr>
                <w:rFonts w:hint="eastAsia"/>
                <w:color w:val="auto"/>
                <w:highlight w:val="none"/>
              </w:rPr>
              <w:t>形式：传真或电子邮件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2.2.2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招标文件澄清发出的形式</w:t>
            </w:r>
          </w:p>
        </w:tc>
        <w:tc>
          <w:tcPr>
            <w:tcW w:w="3158" w:type="pct"/>
          </w:tcPr>
          <w:p>
            <w:pPr>
              <w:spacing w:line="320" w:lineRule="exact"/>
              <w:rPr>
                <w:color w:val="auto"/>
                <w:highlight w:val="none"/>
              </w:rPr>
            </w:pPr>
            <w:r>
              <w:rPr>
                <w:rFonts w:hint="eastAsia"/>
                <w:color w:val="auto"/>
                <w:highlight w:val="none"/>
              </w:rPr>
              <w:t>网络下载或电子邮件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2.2.3</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投标人确认收到招标文件澄清</w:t>
            </w:r>
          </w:p>
        </w:tc>
        <w:tc>
          <w:tcPr>
            <w:tcW w:w="3158" w:type="pct"/>
            <w:vAlign w:val="center"/>
          </w:tcPr>
          <w:p>
            <w:pPr>
              <w:spacing w:line="320" w:lineRule="exact"/>
              <w:rPr>
                <w:color w:val="auto"/>
                <w:highlight w:val="none"/>
              </w:rPr>
            </w:pPr>
            <w:r>
              <w:rPr>
                <w:rFonts w:hint="eastAsia"/>
                <w:color w:val="auto"/>
                <w:highlight w:val="none"/>
              </w:rPr>
              <w:t>时间：收到澄清后_24小时内（以发出时间为准）</w:t>
            </w:r>
          </w:p>
          <w:p>
            <w:pPr>
              <w:spacing w:line="320" w:lineRule="exact"/>
              <w:rPr>
                <w:color w:val="auto"/>
                <w:highlight w:val="none"/>
              </w:rPr>
            </w:pPr>
            <w:r>
              <w:rPr>
                <w:rFonts w:hint="eastAsia"/>
                <w:color w:val="auto"/>
                <w:highlight w:val="none"/>
              </w:rPr>
              <w:t>形式：传真或电子邮件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2.3.1</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招标文件修改发出的形式</w:t>
            </w:r>
          </w:p>
        </w:tc>
        <w:tc>
          <w:tcPr>
            <w:tcW w:w="3158" w:type="pct"/>
          </w:tcPr>
          <w:p>
            <w:pPr>
              <w:spacing w:line="320" w:lineRule="exact"/>
              <w:rPr>
                <w:color w:val="auto"/>
                <w:highlight w:val="none"/>
              </w:rPr>
            </w:pPr>
            <w:r>
              <w:rPr>
                <w:color w:val="auto"/>
                <w:highlight w:val="none"/>
              </w:rPr>
              <w:t>招标文件澄清以补遗书的形式在投标截止日</w:t>
            </w:r>
            <w:r>
              <w:rPr>
                <w:rFonts w:hint="eastAsia"/>
                <w:color w:val="auto"/>
                <w:highlight w:val="none"/>
                <w:lang w:val="en-US" w:eastAsia="zh-CN"/>
              </w:rPr>
              <w:t>15</w:t>
            </w:r>
            <w:r>
              <w:rPr>
                <w:color w:val="auto"/>
                <w:highlight w:val="none"/>
              </w:rPr>
              <w:t>天前上传至</w:t>
            </w:r>
            <w:r>
              <w:rPr>
                <w:rFonts w:hint="eastAsia" w:ascii="宋体" w:hAnsi="宋体"/>
                <w:color w:val="auto"/>
                <w:highlight w:val="none"/>
                <w:lang w:val="en-US" w:eastAsia="zh-CN"/>
              </w:rPr>
              <w:t>南通市公共资源交易网</w:t>
            </w:r>
            <w:r>
              <w:rPr>
                <w:rFonts w:hint="eastAsia"/>
                <w:color w:val="auto"/>
                <w:highlight w:val="none"/>
              </w:rPr>
              <w:t>站</w:t>
            </w:r>
            <w:r>
              <w:rPr>
                <w:color w:val="auto"/>
                <w:highlight w:val="none"/>
              </w:rPr>
              <w:t>本项目招标公告资料下载处，请投标人自行下载并按规定回复收件确认单。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2.3.2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投标人确认收到招标文件修改</w:t>
            </w:r>
          </w:p>
        </w:tc>
        <w:tc>
          <w:tcPr>
            <w:tcW w:w="3158" w:type="pct"/>
          </w:tcPr>
          <w:p>
            <w:pPr>
              <w:spacing w:line="320" w:lineRule="exact"/>
              <w:rPr>
                <w:color w:val="auto"/>
                <w:highlight w:val="none"/>
              </w:rPr>
            </w:pPr>
            <w:r>
              <w:rPr>
                <w:rFonts w:hint="eastAsia"/>
                <w:color w:val="auto"/>
                <w:highlight w:val="none"/>
              </w:rPr>
              <w:t>时间：收到修改后24小时内（以发出时间为准）</w:t>
            </w:r>
          </w:p>
          <w:p>
            <w:pPr>
              <w:spacing w:line="320" w:lineRule="exact"/>
              <w:rPr>
                <w:color w:val="auto"/>
                <w:highlight w:val="none"/>
              </w:rPr>
            </w:pPr>
            <w:r>
              <w:rPr>
                <w:rFonts w:hint="eastAsia"/>
                <w:color w:val="auto"/>
                <w:highlight w:val="none"/>
              </w:rPr>
              <w:t>形式：将盖有法人章的补遗书扫描件发送至招标代理的电子邮箱，澄清中应留有联系人的姓名和电话,并电话联系招标代理以确认澄清是否已被接收。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3.1.1</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投标文件密封形式</w:t>
            </w:r>
          </w:p>
        </w:tc>
        <w:tc>
          <w:tcPr>
            <w:tcW w:w="3158" w:type="pct"/>
            <w:vAlign w:val="center"/>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□单信封</w:t>
            </w:r>
          </w:p>
          <w:p>
            <w:pPr>
              <w:widowControl/>
              <w:adjustRightInd w:val="0"/>
              <w:snapToGrid w:val="0"/>
              <w:spacing w:line="360" w:lineRule="auto"/>
              <w:jc w:val="left"/>
              <w:rPr>
                <w:rFonts w:cs="宋体"/>
                <w:color w:val="auto"/>
                <w:highlight w:val="none"/>
              </w:rPr>
            </w:pPr>
            <w:r>
              <w:rPr>
                <w:rFonts w:hint="eastAsia" w:cs="宋体"/>
                <w:color w:val="auto"/>
                <w:kern w:val="0"/>
                <w:highlight w:val="none"/>
              </w:rPr>
              <w:sym w:font="Wingdings 2" w:char="0052"/>
            </w:r>
            <w:r>
              <w:rPr>
                <w:rFonts w:hint="eastAsia" w:cs="宋体"/>
                <w:color w:val="auto"/>
                <w:kern w:val="0"/>
                <w:highlight w:val="none"/>
              </w:rPr>
              <w:t>双信封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3.1.1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构成投标文件的其他材料</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3.2.1</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增值税税金的计算方法</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按一般计税方法计算。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3.2.1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工程量清单的填写方式</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3.2.3</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报价方式</w:t>
            </w:r>
          </w:p>
        </w:tc>
        <w:tc>
          <w:tcPr>
            <w:tcW w:w="3158" w:type="pct"/>
            <w:vAlign w:val="center"/>
          </w:tcPr>
          <w:p>
            <w:pPr>
              <w:widowControl/>
              <w:adjustRightInd w:val="0"/>
              <w:snapToGrid w:val="0"/>
              <w:spacing w:line="360" w:lineRule="auto"/>
              <w:jc w:val="left"/>
              <w:rPr>
                <w:color w:val="auto"/>
                <w:highlight w:val="none"/>
              </w:rPr>
            </w:pPr>
            <w:r>
              <w:rPr>
                <w:color w:val="auto"/>
                <w:highlight w:val="none"/>
              </w:rPr>
              <w:sym w:font="Wingdings 2" w:char="0052"/>
            </w:r>
            <w:r>
              <w:rPr>
                <w:rFonts w:hint="eastAsia"/>
                <w:color w:val="auto"/>
                <w:highlight w:val="none"/>
              </w:rPr>
              <w:t>单价</w:t>
            </w:r>
          </w:p>
          <w:p>
            <w:pPr>
              <w:widowControl/>
              <w:adjustRightInd w:val="0"/>
              <w:snapToGrid w:val="0"/>
              <w:spacing w:line="360" w:lineRule="auto"/>
              <w:jc w:val="left"/>
              <w:rPr>
                <w:rFonts w:cs="宋体"/>
                <w:color w:val="auto"/>
                <w:highlight w:val="none"/>
              </w:rPr>
            </w:pPr>
            <w:r>
              <w:rPr>
                <w:rFonts w:cs="宋体"/>
                <w:color w:val="auto"/>
                <w:highlight w:val="none"/>
              </w:rPr>
              <w:sym w:font="Wingdings 2" w:char="00A3"/>
            </w:r>
            <w:r>
              <w:rPr>
                <w:rFonts w:hint="eastAsia"/>
                <w:color w:val="auto"/>
                <w:highlight w:val="none"/>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3.2.6</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是否接受调价函</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□是</w:t>
            </w:r>
          </w:p>
          <w:p>
            <w:pPr>
              <w:widowControl/>
              <w:adjustRightInd w:val="0"/>
              <w:snapToGrid w:val="0"/>
              <w:spacing w:line="360" w:lineRule="auto"/>
              <w:jc w:val="left"/>
              <w:rPr>
                <w:rFonts w:cs="宋体"/>
                <w:color w:val="auto"/>
                <w:highlight w:val="none"/>
              </w:rPr>
            </w:pPr>
            <w:r>
              <w:rPr>
                <w:rFonts w:hint="eastAsia" w:cs="宋体"/>
                <w:color w:val="auto"/>
                <w:highlight w:val="none"/>
              </w:rPr>
              <w:sym w:font="Wingdings 2" w:char="0052"/>
            </w:r>
            <w:r>
              <w:rPr>
                <w:rFonts w:hint="eastAsia" w:cs="宋体"/>
                <w:color w:val="auto"/>
                <w:highlight w:val="none"/>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3.2.8</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最高投标限价</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□无</w:t>
            </w:r>
          </w:p>
          <w:p>
            <w:pPr>
              <w:widowControl/>
              <w:adjustRightInd w:val="0"/>
              <w:snapToGrid w:val="0"/>
              <w:spacing w:line="360" w:lineRule="auto"/>
              <w:jc w:val="left"/>
              <w:rPr>
                <w:rFonts w:cs="宋体"/>
                <w:color w:val="auto"/>
                <w:highlight w:val="none"/>
              </w:rPr>
            </w:pPr>
            <w:r>
              <w:rPr>
                <w:rFonts w:hint="eastAsia" w:cs="宋体"/>
                <w:color w:val="auto"/>
                <w:highlight w:val="none"/>
              </w:rPr>
              <w:sym w:font="Wingdings 2" w:char="0052"/>
            </w:r>
            <w:r>
              <w:rPr>
                <w:rFonts w:hint="eastAsia" w:cs="宋体"/>
                <w:color w:val="auto"/>
                <w:highlight w:val="none"/>
              </w:rPr>
              <w:t>有，最高投标限价：</w:t>
            </w:r>
          </w:p>
          <w:p>
            <w:pPr>
              <w:widowControl/>
              <w:adjustRightInd w:val="0"/>
              <w:snapToGrid w:val="0"/>
              <w:spacing w:line="360" w:lineRule="auto"/>
              <w:jc w:val="left"/>
              <w:rPr>
                <w:b/>
                <w:color w:val="auto"/>
                <w:kern w:val="0"/>
                <w:highlight w:val="none"/>
              </w:rPr>
            </w:pPr>
            <w:r>
              <w:rPr>
                <w:rFonts w:hint="eastAsia"/>
                <w:b/>
                <w:color w:val="auto"/>
                <w:kern w:val="0"/>
                <w:highlight w:val="none"/>
              </w:rPr>
              <w:t>本项目招标人设定的投标控制价上限（单价）为：</w:t>
            </w:r>
            <w:r>
              <w:rPr>
                <w:rFonts w:hint="eastAsia" w:ascii="宋体" w:hAnsi="宋体" w:cs="宋体"/>
                <w:b/>
                <w:color w:val="auto"/>
                <w:kern w:val="0"/>
                <w:highlight w:val="none"/>
              </w:rPr>
              <w:t>人民币1</w:t>
            </w:r>
            <w:r>
              <w:rPr>
                <w:rFonts w:ascii="宋体" w:hAnsi="宋体" w:cs="宋体"/>
                <w:b/>
                <w:color w:val="auto"/>
                <w:kern w:val="0"/>
                <w:highlight w:val="none"/>
              </w:rPr>
              <w:t>3</w:t>
            </w:r>
            <w:r>
              <w:rPr>
                <w:rFonts w:hint="eastAsia" w:ascii="宋体" w:hAnsi="宋体" w:cs="宋体"/>
                <w:b/>
                <w:color w:val="auto"/>
                <w:kern w:val="0"/>
                <w:highlight w:val="none"/>
              </w:rPr>
              <w:t>元/立方米。</w:t>
            </w:r>
          </w:p>
          <w:p>
            <w:pPr>
              <w:widowControl/>
              <w:adjustRightInd w:val="0"/>
              <w:snapToGrid w:val="0"/>
              <w:spacing w:line="360" w:lineRule="auto"/>
              <w:jc w:val="left"/>
              <w:rPr>
                <w:rFonts w:cs="宋体"/>
                <w:color w:val="auto"/>
                <w:highlight w:val="none"/>
              </w:rPr>
            </w:pPr>
            <w:r>
              <w:rPr>
                <w:rFonts w:hint="eastAsia"/>
                <w:b/>
                <w:color w:val="auto"/>
                <w:kern w:val="0"/>
                <w:highlight w:val="none"/>
              </w:rPr>
              <w:t>超过该投标控制价上限（单价）的投标作否决投标处理。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3.2.9</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投标报价的其他要求</w:t>
            </w:r>
          </w:p>
        </w:tc>
        <w:tc>
          <w:tcPr>
            <w:tcW w:w="3158" w:type="pct"/>
            <w:vAlign w:val="center"/>
          </w:tcPr>
          <w:p>
            <w:pPr>
              <w:widowControl/>
              <w:adjustRightInd w:val="0"/>
              <w:snapToGrid w:val="0"/>
              <w:spacing w:line="360" w:lineRule="auto"/>
              <w:jc w:val="left"/>
              <w:rPr>
                <w:color w:val="auto"/>
                <w:highlight w:val="none"/>
              </w:rPr>
            </w:pPr>
            <w:r>
              <w:rPr>
                <w:rFonts w:hint="eastAsia"/>
                <w:color w:val="auto"/>
                <w:highlight w:val="none"/>
              </w:rPr>
              <w:t>3.2.9.1投标人报价包括挖土费用、运输费用、卸土费用、堆土费用、各类规费（渣土办、交警、路政（交通执法）、航政、环保等）、安全生产费用、各类保险费、人工、机械、管理费、利润、税金以及与本合同相关的一切明示或暗示费用。</w:t>
            </w:r>
          </w:p>
          <w:p>
            <w:pPr>
              <w:widowControl/>
              <w:adjustRightInd w:val="0"/>
              <w:snapToGrid w:val="0"/>
              <w:spacing w:line="360" w:lineRule="auto"/>
              <w:jc w:val="left"/>
              <w:rPr>
                <w:color w:val="auto"/>
                <w:highlight w:val="none"/>
              </w:rPr>
            </w:pPr>
            <w:r>
              <w:rPr>
                <w:rFonts w:hint="eastAsia"/>
                <w:color w:val="auto"/>
                <w:highlight w:val="none"/>
              </w:rPr>
              <w:t>3.2.9.2本项目执行固定单价合同，合同实施期间合同单价一概不予调整。投标人在报价时土方综合单价中应充分考虑以下因素：</w:t>
            </w:r>
          </w:p>
          <w:p>
            <w:pPr>
              <w:widowControl/>
              <w:adjustRightInd w:val="0"/>
              <w:snapToGrid w:val="0"/>
              <w:spacing w:line="360" w:lineRule="auto"/>
              <w:jc w:val="left"/>
              <w:rPr>
                <w:color w:val="auto"/>
                <w:highlight w:val="none"/>
              </w:rPr>
            </w:pPr>
            <w:r>
              <w:rPr>
                <w:rFonts w:hint="eastAsia"/>
                <w:color w:val="auto"/>
                <w:highlight w:val="none"/>
              </w:rPr>
              <w:t>（1）投标单价含①土方现有位置运至堆土点位置的运输费用；②</w:t>
            </w:r>
            <w:r>
              <w:rPr>
                <w:rFonts w:hint="eastAsia"/>
                <w:color w:val="auto"/>
                <w:highlight w:val="none"/>
                <w:lang w:val="en-US" w:eastAsia="zh-CN"/>
              </w:rPr>
              <w:t>便道</w:t>
            </w:r>
            <w:r>
              <w:rPr>
                <w:rFonts w:hint="eastAsia"/>
                <w:color w:val="auto"/>
                <w:highlight w:val="none"/>
              </w:rPr>
              <w:t>日常维护、洒水降尘等由投标人负责；③堆土场内便道及卸土机械（如需要）均由投标人负责。</w:t>
            </w:r>
          </w:p>
          <w:p>
            <w:pPr>
              <w:widowControl/>
              <w:adjustRightInd w:val="0"/>
              <w:snapToGrid w:val="0"/>
              <w:spacing w:line="360" w:lineRule="auto"/>
              <w:jc w:val="left"/>
              <w:rPr>
                <w:color w:val="auto"/>
                <w:highlight w:val="none"/>
              </w:rPr>
            </w:pPr>
            <w:r>
              <w:rPr>
                <w:rFonts w:hint="eastAsia"/>
                <w:color w:val="auto"/>
                <w:highlight w:val="none"/>
              </w:rPr>
              <w:t>（2）投标人供应不及时给招标人造成的误工费用由投标人全部承担；施工过程中不得以便道、施工时间、土方质量等问题向招标人要求增加任何费用。</w:t>
            </w:r>
          </w:p>
          <w:p>
            <w:pPr>
              <w:widowControl/>
              <w:adjustRightInd w:val="0"/>
              <w:snapToGrid w:val="0"/>
              <w:spacing w:line="360" w:lineRule="auto"/>
              <w:jc w:val="left"/>
              <w:rPr>
                <w:color w:val="auto"/>
                <w:highlight w:val="none"/>
              </w:rPr>
            </w:pPr>
            <w:r>
              <w:rPr>
                <w:rFonts w:hint="eastAsia"/>
                <w:color w:val="auto"/>
                <w:highlight w:val="none"/>
              </w:rPr>
              <w:t>（3）运土时对民众交通影响、施工噪声及扬尘控制费用、施工区域内的建筑物（或构作物）影响等不可预见因素所涉及的费用；</w:t>
            </w:r>
          </w:p>
          <w:p>
            <w:pPr>
              <w:widowControl/>
              <w:adjustRightInd w:val="0"/>
              <w:snapToGrid w:val="0"/>
              <w:spacing w:line="360" w:lineRule="auto"/>
              <w:jc w:val="left"/>
              <w:rPr>
                <w:color w:val="auto"/>
                <w:highlight w:val="none"/>
              </w:rPr>
            </w:pPr>
            <w:r>
              <w:rPr>
                <w:rFonts w:hint="eastAsia"/>
                <w:color w:val="auto"/>
                <w:highlight w:val="none"/>
              </w:rPr>
              <w:t>（4）项目沿线地下管线（给水、排水、燃气、电气及相应配套附属设施设备）及现有的基础设施（包括道路、路灯、电线杆、原有绿化及应需保护的构筑物等）保护、搬迁（若需）与修复费用；</w:t>
            </w:r>
          </w:p>
          <w:p>
            <w:pPr>
              <w:widowControl/>
              <w:adjustRightInd w:val="0"/>
              <w:snapToGrid w:val="0"/>
              <w:spacing w:line="360" w:lineRule="auto"/>
              <w:jc w:val="left"/>
              <w:rPr>
                <w:color w:val="auto"/>
                <w:highlight w:val="none"/>
              </w:rPr>
            </w:pPr>
            <w:r>
              <w:rPr>
                <w:rFonts w:hint="eastAsia"/>
                <w:color w:val="auto"/>
                <w:highlight w:val="none"/>
              </w:rPr>
              <w:t xml:space="preserve">（5）堆土区周边建筑物（如涉及）的沉降观察、沉降控制、沉降后果处理等费用； </w:t>
            </w:r>
          </w:p>
          <w:p>
            <w:pPr>
              <w:widowControl/>
              <w:adjustRightInd w:val="0"/>
              <w:snapToGrid w:val="0"/>
              <w:spacing w:line="360" w:lineRule="auto"/>
              <w:jc w:val="left"/>
              <w:rPr>
                <w:color w:val="auto"/>
                <w:highlight w:val="none"/>
              </w:rPr>
            </w:pPr>
            <w:r>
              <w:rPr>
                <w:rFonts w:hint="eastAsia"/>
                <w:color w:val="auto"/>
                <w:highlight w:val="none"/>
              </w:rPr>
              <w:t>（6）除不可抗力外，不能因资金、群众矛盾等原因而延误工期，包括因群众矛盾引起的各项费用；</w:t>
            </w:r>
          </w:p>
          <w:p>
            <w:pPr>
              <w:widowControl/>
              <w:adjustRightInd w:val="0"/>
              <w:snapToGrid w:val="0"/>
              <w:spacing w:line="360" w:lineRule="auto"/>
              <w:jc w:val="left"/>
              <w:rPr>
                <w:color w:val="auto"/>
                <w:highlight w:val="none"/>
              </w:rPr>
            </w:pPr>
            <w:r>
              <w:rPr>
                <w:rFonts w:hint="eastAsia"/>
                <w:color w:val="auto"/>
                <w:highlight w:val="none"/>
              </w:rPr>
              <w:t>（7）本项目所有设备及运输工具使用费，自有设备或租赁设备费用；</w:t>
            </w:r>
          </w:p>
          <w:p>
            <w:pPr>
              <w:widowControl/>
              <w:adjustRightInd w:val="0"/>
              <w:snapToGrid w:val="0"/>
              <w:spacing w:line="360" w:lineRule="auto"/>
              <w:jc w:val="left"/>
              <w:rPr>
                <w:color w:val="auto"/>
                <w:highlight w:val="none"/>
              </w:rPr>
            </w:pPr>
            <w:r>
              <w:rPr>
                <w:rFonts w:hint="eastAsia"/>
                <w:color w:val="auto"/>
                <w:highlight w:val="none"/>
              </w:rPr>
              <w:t>（8）为了完成本项目，所需的临时用地、临时用电（包括自发电）、临时用水、临时排水、场内临时道路（便道）、围埂围堰、筑拆坝（临时埋管）等所涉及的所有费用；</w:t>
            </w:r>
          </w:p>
          <w:p>
            <w:pPr>
              <w:widowControl/>
              <w:adjustRightInd w:val="0"/>
              <w:snapToGrid w:val="0"/>
              <w:spacing w:line="360" w:lineRule="auto"/>
              <w:jc w:val="left"/>
              <w:rPr>
                <w:color w:val="auto"/>
                <w:highlight w:val="none"/>
              </w:rPr>
            </w:pPr>
            <w:r>
              <w:rPr>
                <w:rFonts w:hint="eastAsia"/>
                <w:color w:val="auto"/>
                <w:highlight w:val="none"/>
              </w:rPr>
              <w:t>注：位于项目现场运输通道已由项目中标单位修建，投标人若使用该通道需与该中标单位协调，如不用需自行租用土地修筑便道，费用包含在此次单价及总价内。</w:t>
            </w:r>
          </w:p>
          <w:p>
            <w:pPr>
              <w:widowControl/>
              <w:adjustRightInd w:val="0"/>
              <w:snapToGrid w:val="0"/>
              <w:spacing w:line="360" w:lineRule="auto"/>
              <w:jc w:val="left"/>
              <w:rPr>
                <w:color w:val="auto"/>
                <w:highlight w:val="none"/>
              </w:rPr>
            </w:pPr>
            <w:r>
              <w:rPr>
                <w:rFonts w:hint="eastAsia"/>
                <w:color w:val="auto"/>
                <w:highlight w:val="none"/>
              </w:rPr>
              <w:t>（9）运输过种中，涉及河道、河塘的保护以及影响水系等费用；</w:t>
            </w:r>
          </w:p>
          <w:p>
            <w:pPr>
              <w:widowControl/>
              <w:adjustRightInd w:val="0"/>
              <w:snapToGrid w:val="0"/>
              <w:spacing w:line="360" w:lineRule="auto"/>
              <w:jc w:val="left"/>
              <w:rPr>
                <w:color w:val="auto"/>
                <w:highlight w:val="none"/>
              </w:rPr>
            </w:pPr>
            <w:r>
              <w:rPr>
                <w:rFonts w:hint="eastAsia"/>
                <w:color w:val="auto"/>
                <w:highlight w:val="none"/>
              </w:rPr>
              <w:t>（10）投标单价为土方运输综合单价，请投标人在报价时对甲供土现有位置、堆土点位置、运土路线、运土方式进行充分调查，并在投标报价时予以充分考虑。</w:t>
            </w:r>
          </w:p>
          <w:p>
            <w:pPr>
              <w:widowControl/>
              <w:adjustRightInd w:val="0"/>
              <w:snapToGrid w:val="0"/>
              <w:spacing w:line="360" w:lineRule="auto"/>
              <w:jc w:val="left"/>
              <w:rPr>
                <w:color w:val="auto"/>
                <w:highlight w:val="none"/>
              </w:rPr>
            </w:pPr>
            <w:r>
              <w:rPr>
                <w:rFonts w:hint="eastAsia"/>
                <w:color w:val="auto"/>
                <w:highlight w:val="none"/>
              </w:rPr>
              <w:t>（11）土方计量：</w:t>
            </w:r>
            <w:r>
              <w:rPr>
                <w:rFonts w:hint="eastAsia"/>
                <w:color w:val="auto"/>
                <w:highlight w:val="none"/>
                <w:lang w:val="en-US" w:eastAsia="zh-CN"/>
              </w:rPr>
              <w:t>月计量以招标人委托现场监理核定的拟回填区位完成的实体工程回填土方量为准；回填场地交付标准以回填后满足工程机械和工程运输车辆正常通行和作业需求即可，不作具体压实要求。最终计量（结算）以最终工程结算审计为准。</w:t>
            </w:r>
          </w:p>
          <w:p>
            <w:pPr>
              <w:widowControl/>
              <w:adjustRightInd w:val="0"/>
              <w:snapToGrid w:val="0"/>
              <w:spacing w:line="360" w:lineRule="auto"/>
              <w:jc w:val="left"/>
              <w:rPr>
                <w:color w:val="auto"/>
                <w:highlight w:val="none"/>
              </w:rPr>
            </w:pPr>
            <w:r>
              <w:rPr>
                <w:rFonts w:hint="eastAsia"/>
                <w:color w:val="auto"/>
                <w:highlight w:val="none"/>
              </w:rPr>
              <w:t>（12）投标人必须为其用于本项目</w:t>
            </w:r>
            <w:bookmarkStart w:id="141" w:name="_GoBack"/>
            <w:bookmarkEnd w:id="141"/>
            <w:r>
              <w:rPr>
                <w:rFonts w:hint="eastAsia"/>
                <w:color w:val="auto"/>
                <w:highlight w:val="none"/>
              </w:rPr>
              <w:t>的人（包括农民工）投保人身意外伤害险与工伤险，为其机（船）投保设备险及第三方责任险，相关费用包含在投标综合单价中。</w:t>
            </w:r>
          </w:p>
          <w:p>
            <w:pPr>
              <w:widowControl/>
              <w:adjustRightInd w:val="0"/>
              <w:snapToGrid w:val="0"/>
              <w:spacing w:line="360" w:lineRule="auto"/>
              <w:jc w:val="left"/>
              <w:rPr>
                <w:color w:val="auto"/>
                <w:highlight w:val="none"/>
              </w:rPr>
            </w:pPr>
            <w:r>
              <w:rPr>
                <w:rFonts w:hint="eastAsia"/>
                <w:color w:val="auto"/>
                <w:highlight w:val="none"/>
              </w:rPr>
              <w:t>（13）土方的挖运应满足环保要求，土方运输过程中应做好覆盖保护，注意扬尘管理，在道路或航道（河道）通行过程中不得洒漏，应服从途经当地环保、渣土部门的管理，因环保、渣土要求相关的费用增加，投标人在综合单价中予以考虑。</w:t>
            </w:r>
          </w:p>
          <w:p>
            <w:pPr>
              <w:widowControl/>
              <w:adjustRightInd w:val="0"/>
              <w:snapToGrid w:val="0"/>
              <w:spacing w:line="360" w:lineRule="auto"/>
              <w:jc w:val="left"/>
              <w:rPr>
                <w:color w:val="auto"/>
                <w:highlight w:val="none"/>
              </w:rPr>
            </w:pPr>
            <w:r>
              <w:rPr>
                <w:rFonts w:hint="eastAsia"/>
                <w:color w:val="auto"/>
                <w:highlight w:val="none"/>
              </w:rPr>
              <w:t>（14）土方处置单位应严格执行南通市建筑垃圾（工程渣土）运输相关管理办法的规定，因执行环保、渣土相关环保（或渣土运输管理）文件增加的措施费用含在综合单价中。</w:t>
            </w:r>
          </w:p>
          <w:p>
            <w:pPr>
              <w:widowControl/>
              <w:adjustRightInd w:val="0"/>
              <w:snapToGrid w:val="0"/>
              <w:spacing w:line="360" w:lineRule="auto"/>
              <w:jc w:val="left"/>
              <w:rPr>
                <w:color w:val="auto"/>
                <w:highlight w:val="none"/>
              </w:rPr>
            </w:pPr>
            <w:r>
              <w:rPr>
                <w:rFonts w:hint="eastAsia"/>
                <w:color w:val="auto"/>
                <w:highlight w:val="none"/>
              </w:rPr>
              <w:t>（15）土方处置单位应负责整个土方处置过程的安全管理，在进出土源地、堆土点附近时，须设置必要的指示标识与警告标识，对运输车船设置限速管理，并严禁超载，一旦发现安全事故，责任均由土方处置单位自行承担，指示标识与警告标识相关费用包含在综合单价中，不单独计量与支付。</w:t>
            </w:r>
          </w:p>
          <w:p>
            <w:pPr>
              <w:widowControl/>
              <w:adjustRightInd w:val="0"/>
              <w:snapToGrid w:val="0"/>
              <w:spacing w:line="360" w:lineRule="auto"/>
              <w:jc w:val="left"/>
              <w:rPr>
                <w:color w:val="auto"/>
                <w:highlight w:val="none"/>
              </w:rPr>
            </w:pPr>
            <w:r>
              <w:rPr>
                <w:rFonts w:hint="eastAsia"/>
                <w:color w:val="auto"/>
                <w:highlight w:val="none"/>
              </w:rPr>
              <w:t>（16）土方处置单位合同实施前须按交警、路政（交通执法）、城管等部门规定办理相关手续，相关费用包含在综合单价中。</w:t>
            </w:r>
          </w:p>
          <w:p>
            <w:pPr>
              <w:widowControl/>
              <w:adjustRightInd w:val="0"/>
              <w:snapToGrid w:val="0"/>
              <w:spacing w:line="360" w:lineRule="auto"/>
              <w:jc w:val="left"/>
              <w:rPr>
                <w:color w:val="auto"/>
                <w:highlight w:val="none"/>
              </w:rPr>
            </w:pPr>
            <w:r>
              <w:rPr>
                <w:rFonts w:hint="eastAsia"/>
                <w:color w:val="auto"/>
                <w:highlight w:val="none"/>
              </w:rPr>
              <w:t>（17）招标件中没有提的，土方处置过程中必须发生的工程（或工作）内容所需的其它费用均包含在综合单价中。</w:t>
            </w:r>
          </w:p>
          <w:p>
            <w:pPr>
              <w:widowControl/>
              <w:adjustRightInd w:val="0"/>
              <w:snapToGrid w:val="0"/>
              <w:spacing w:line="360" w:lineRule="auto"/>
              <w:jc w:val="left"/>
              <w:rPr>
                <w:color w:val="auto"/>
                <w:highlight w:val="none"/>
              </w:rPr>
            </w:pPr>
            <w:r>
              <w:rPr>
                <w:rFonts w:hint="eastAsia"/>
                <w:color w:val="auto"/>
                <w:highlight w:val="none"/>
              </w:rPr>
              <w:t>3.2.9.3投标文件中只允许有一个报价，招标人不接受选择性报价。若出现两个或两个以上的报价，则该投标文件将被否决。</w:t>
            </w:r>
          </w:p>
          <w:p>
            <w:pPr>
              <w:widowControl/>
              <w:adjustRightInd w:val="0"/>
              <w:snapToGrid w:val="0"/>
              <w:spacing w:line="360" w:lineRule="auto"/>
              <w:jc w:val="left"/>
              <w:rPr>
                <w:color w:val="auto"/>
                <w:highlight w:val="none"/>
              </w:rPr>
            </w:pPr>
            <w:r>
              <w:rPr>
                <w:rFonts w:hint="eastAsia"/>
                <w:color w:val="auto"/>
                <w:highlight w:val="none"/>
              </w:rPr>
              <w:t>3.2.9.4本项目不接受调价函。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3.3.1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投标有效期</w:t>
            </w:r>
          </w:p>
        </w:tc>
        <w:tc>
          <w:tcPr>
            <w:tcW w:w="3158" w:type="pct"/>
            <w:vAlign w:val="center"/>
          </w:tcPr>
          <w:p>
            <w:pPr>
              <w:widowControl/>
              <w:adjustRightInd w:val="0"/>
              <w:snapToGrid w:val="0"/>
              <w:spacing w:line="360" w:lineRule="auto"/>
              <w:jc w:val="left"/>
              <w:rPr>
                <w:rFonts w:cs="宋体"/>
                <w:b/>
                <w:color w:val="auto"/>
                <w:highlight w:val="none"/>
              </w:rPr>
            </w:pPr>
            <w:r>
              <w:rPr>
                <w:rFonts w:hint="eastAsia" w:cs="宋体"/>
                <w:color w:val="auto"/>
                <w:kern w:val="0"/>
                <w:highlight w:val="none"/>
              </w:rPr>
              <w:t>自投标人提交投标文件截止之日起计算90天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6" w:hRule="atLeast"/>
        </w:trPr>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3.4.1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投标保证金</w:t>
            </w:r>
          </w:p>
        </w:tc>
        <w:tc>
          <w:tcPr>
            <w:tcW w:w="3158" w:type="pct"/>
            <w:vAlign w:val="center"/>
          </w:tcPr>
          <w:p>
            <w:pPr>
              <w:pStyle w:val="20"/>
              <w:topLinePunct/>
              <w:spacing w:line="360" w:lineRule="exact"/>
              <w:rPr>
                <w:rFonts w:ascii="Times New Roman"/>
                <w:color w:val="auto"/>
                <w:sz w:val="21"/>
                <w:szCs w:val="21"/>
                <w:highlight w:val="none"/>
              </w:rPr>
            </w:pPr>
            <w:r>
              <w:rPr>
                <w:rFonts w:hint="eastAsia" w:ascii="Times New Roman"/>
                <w:color w:val="auto"/>
                <w:sz w:val="21"/>
                <w:szCs w:val="21"/>
                <w:highlight w:val="none"/>
              </w:rPr>
              <w:t>是否要求投标人递交投标保证金：</w:t>
            </w:r>
          </w:p>
          <w:p>
            <w:pPr>
              <w:pStyle w:val="20"/>
              <w:topLinePunct/>
              <w:spacing w:line="360" w:lineRule="exact"/>
              <w:rPr>
                <w:rFonts w:hAnsi="宋体"/>
                <w:b/>
                <w:color w:val="auto"/>
                <w:highlight w:val="none"/>
              </w:rPr>
            </w:pPr>
            <w:r>
              <w:rPr>
                <w:rFonts w:hint="eastAsia" w:hAnsi="宋体"/>
                <w:color w:val="auto"/>
                <w:sz w:val="21"/>
                <w:szCs w:val="21"/>
                <w:highlight w:val="none"/>
                <w:bdr w:val="single" w:color="auto" w:sz="4" w:space="0"/>
              </w:rPr>
              <w:t>√</w:t>
            </w:r>
            <w:r>
              <w:rPr>
                <w:rFonts w:hint="eastAsia" w:ascii="Times New Roman"/>
                <w:color w:val="auto"/>
                <w:sz w:val="21"/>
                <w:szCs w:val="21"/>
                <w:highlight w:val="none"/>
              </w:rPr>
              <w:t>要求，</w:t>
            </w:r>
            <w:r>
              <w:rPr>
                <w:rFonts w:hint="eastAsia" w:hAnsi="宋体"/>
                <w:b/>
                <w:color w:val="auto"/>
                <w:sz w:val="21"/>
                <w:szCs w:val="21"/>
                <w:highlight w:val="none"/>
              </w:rPr>
              <w:t>投标保证金的金额：人民币8万元</w:t>
            </w:r>
            <w:r>
              <w:rPr>
                <w:rFonts w:hAnsi="宋体"/>
                <w:b/>
                <w:color w:val="auto"/>
                <w:sz w:val="21"/>
                <w:szCs w:val="21"/>
                <w:highlight w:val="none"/>
              </w:rPr>
              <w:t>/投标人</w:t>
            </w:r>
          </w:p>
          <w:p>
            <w:pPr>
              <w:spacing w:line="360" w:lineRule="exact"/>
              <w:rPr>
                <w:rFonts w:ascii="宋体" w:hAnsi="宋体"/>
                <w:b/>
                <w:bCs/>
                <w:color w:val="auto"/>
                <w:sz w:val="22"/>
                <w:szCs w:val="22"/>
                <w:highlight w:val="none"/>
              </w:rPr>
            </w:pPr>
            <w:r>
              <w:rPr>
                <w:rFonts w:hint="eastAsia" w:ascii="宋体" w:hAnsi="宋体"/>
                <w:b/>
                <w:bCs/>
                <w:color w:val="auto"/>
                <w:sz w:val="22"/>
                <w:szCs w:val="22"/>
                <w:highlight w:val="none"/>
              </w:rPr>
              <w:t>注：汇款时投标人应在汇款备注中详细列明标段号及用途，具体为：</w:t>
            </w:r>
          </w:p>
          <w:p>
            <w:pPr>
              <w:snapToGrid w:val="0"/>
              <w:spacing w:line="360" w:lineRule="exact"/>
              <w:ind w:right="113"/>
              <w:rPr>
                <w:rFonts w:ascii="宋体" w:hAnsi="宋体" w:cs="宋体"/>
                <w:b/>
                <w:bCs/>
                <w:color w:val="auto"/>
                <w:highlight w:val="none"/>
              </w:rPr>
            </w:pPr>
            <w:r>
              <w:rPr>
                <w:rFonts w:hint="eastAsia" w:ascii="宋体" w:hAnsi="宋体" w:cs="宋体"/>
                <w:b/>
                <w:bCs/>
                <w:color w:val="auto"/>
                <w:highlight w:val="none"/>
              </w:rPr>
              <w:t>投标保证金形式：不限</w:t>
            </w:r>
          </w:p>
          <w:p>
            <w:pPr>
              <w:spacing w:line="360" w:lineRule="exact"/>
              <w:rPr>
                <w:rFonts w:ascii="宋体"/>
                <w:color w:val="auto"/>
                <w:highlight w:val="none"/>
              </w:rPr>
            </w:pP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）若采用电汇，投标人应在上述投标保证金递交截止之前，将</w:t>
            </w:r>
            <w:r>
              <w:rPr>
                <w:rFonts w:hint="eastAsia" w:ascii="宋体" w:hAnsi="宋体"/>
                <w:b/>
                <w:color w:val="auto"/>
                <w:highlight w:val="none"/>
              </w:rPr>
              <w:t>投标保证金由投标人基本账户一次性汇入招标人指定账户，否则视为投标保证金无效。</w:t>
            </w:r>
          </w:p>
          <w:p>
            <w:pPr>
              <w:spacing w:line="360" w:lineRule="exact"/>
              <w:jc w:val="left"/>
              <w:rPr>
                <w:rFonts w:ascii="宋体" w:hAnsi="宋体"/>
                <w:color w:val="auto"/>
                <w:highlight w:val="none"/>
              </w:rPr>
            </w:pP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）若采用银行汇票或银行本票（若投标人基本开户行在南通，则可递交银行本票），投标人应在上述投标保证金递交截止时间之前，将银行汇票或银行本票原件递交给招标代理，且</w:t>
            </w:r>
            <w:r>
              <w:rPr>
                <w:rFonts w:hint="eastAsia" w:ascii="宋体" w:hAnsi="宋体"/>
                <w:b/>
                <w:color w:val="auto"/>
                <w:highlight w:val="none"/>
              </w:rPr>
              <w:t>投标保证金必须由投标人基本账户汇出</w:t>
            </w:r>
            <w:r>
              <w:rPr>
                <w:rFonts w:ascii="宋体"/>
                <w:b/>
                <w:color w:val="auto"/>
                <w:highlight w:val="none"/>
              </w:rPr>
              <w:t>,</w:t>
            </w:r>
            <w:r>
              <w:rPr>
                <w:rFonts w:hint="eastAsia" w:ascii="宋体" w:hAnsi="宋体"/>
                <w:b/>
                <w:color w:val="auto"/>
                <w:highlight w:val="none"/>
              </w:rPr>
              <w:t>否则视为投标保证金无效。</w:t>
            </w:r>
            <w:r>
              <w:rPr>
                <w:rFonts w:hint="eastAsia" w:ascii="宋体" w:hAnsi="宋体"/>
                <w:color w:val="auto"/>
                <w:highlight w:val="none"/>
              </w:rPr>
              <w:t>（采用银行本票的，必须同时递交银行本票申请单的复印件）</w:t>
            </w:r>
          </w:p>
          <w:p>
            <w:pPr>
              <w:spacing w:line="360" w:lineRule="exact"/>
              <w:jc w:val="left"/>
              <w:rPr>
                <w:rFonts w:ascii="宋体" w:hAnsi="宋体" w:cs="宋体"/>
                <w:color w:val="auto"/>
                <w:highlight w:val="none"/>
              </w:rPr>
            </w:pPr>
            <w:r>
              <w:rPr>
                <w:rFonts w:hint="eastAsia" w:ascii="宋体" w:hAnsi="宋体" w:cs="宋体"/>
                <w:color w:val="auto"/>
                <w:highlight w:val="none"/>
              </w:rPr>
              <w:t>（3）若采用银行保函，银行保函应采用招标文件提供的格式，且应在投标有效期内保持有效，招标人如果按本章第3.3.3项的规定延长了投标有效期，则投标保证金的有效期也相应延长。</w:t>
            </w:r>
            <w:r>
              <w:rPr>
                <w:rFonts w:hint="eastAsia" w:ascii="宋体" w:hAnsi="宋体" w:cs="宋体"/>
                <w:b/>
                <w:color w:val="auto"/>
                <w:highlight w:val="none"/>
              </w:rPr>
              <w:t>银行保函原件应按招标文件的要求在递交投标文件截止时间之前单独密封提交给招标人，并将银行保函扫描件上传至投标文件中。</w:t>
            </w:r>
          </w:p>
          <w:p>
            <w:pPr>
              <w:spacing w:line="360" w:lineRule="exact"/>
              <w:jc w:val="left"/>
              <w:rPr>
                <w:rFonts w:ascii="宋体" w:hAnsi="宋体" w:cs="宋体"/>
                <w:color w:val="auto"/>
                <w:highlight w:val="none"/>
              </w:rPr>
            </w:pPr>
            <w:r>
              <w:rPr>
                <w:rFonts w:hint="eastAsia" w:ascii="宋体" w:hAnsi="宋体" w:cs="宋体"/>
                <w:color w:val="auto"/>
                <w:highlight w:val="none"/>
              </w:rPr>
              <w:t>招标人指定的开户银行及账号如下：</w:t>
            </w:r>
          </w:p>
          <w:p>
            <w:pPr>
              <w:spacing w:line="360" w:lineRule="exact"/>
              <w:jc w:val="left"/>
              <w:rPr>
                <w:rFonts w:ascii="宋体" w:hAnsi="宋体" w:cs="宋体"/>
                <w:bCs/>
                <w:color w:val="auto"/>
                <w:highlight w:val="none"/>
              </w:rPr>
            </w:pPr>
            <w:r>
              <w:rPr>
                <w:rFonts w:hint="eastAsia" w:ascii="宋体" w:hAnsi="宋体" w:cs="宋体"/>
                <w:color w:val="auto"/>
                <w:highlight w:val="none"/>
              </w:rPr>
              <w:t>账户名称：</w:t>
            </w:r>
            <w:r>
              <w:rPr>
                <w:rFonts w:hint="eastAsia" w:ascii="宋体" w:hAnsi="宋体" w:cs="宋体"/>
                <w:bCs/>
                <w:color w:val="auto"/>
                <w:kern w:val="0"/>
                <w:highlight w:val="none"/>
                <w:u w:val="single"/>
              </w:rPr>
              <w:t>中诚工程建设管理（苏州）股份有限公司启海分公司</w:t>
            </w:r>
          </w:p>
          <w:p>
            <w:pPr>
              <w:spacing w:line="360" w:lineRule="exact"/>
              <w:jc w:val="left"/>
              <w:rPr>
                <w:rFonts w:ascii="宋体" w:hAnsi="宋体" w:cs="宋体"/>
                <w:color w:val="auto"/>
                <w:highlight w:val="none"/>
              </w:rPr>
            </w:pPr>
            <w:r>
              <w:rPr>
                <w:rFonts w:hint="eastAsia" w:ascii="宋体" w:hAnsi="宋体" w:cs="宋体"/>
                <w:color w:val="auto"/>
                <w:highlight w:val="none"/>
              </w:rPr>
              <w:t>账号：10716001040026646</w:t>
            </w:r>
          </w:p>
          <w:p>
            <w:pPr>
              <w:spacing w:line="360" w:lineRule="exact"/>
              <w:jc w:val="left"/>
              <w:rPr>
                <w:rFonts w:ascii="宋体" w:hAnsi="宋体" w:cs="宋体"/>
                <w:color w:val="auto"/>
                <w:highlight w:val="none"/>
              </w:rPr>
            </w:pPr>
            <w:r>
              <w:rPr>
                <w:rFonts w:hint="eastAsia" w:ascii="宋体" w:hAnsi="宋体" w:cs="宋体"/>
                <w:color w:val="auto"/>
                <w:highlight w:val="none"/>
              </w:rPr>
              <w:t>开户行：中国农业银行南通人民东路支行</w:t>
            </w:r>
          </w:p>
          <w:p>
            <w:pPr>
              <w:spacing w:line="360" w:lineRule="exact"/>
              <w:jc w:val="left"/>
              <w:rPr>
                <w:rFonts w:ascii="宋体" w:hAnsi="宋体" w:cs="宋体"/>
                <w:snapToGrid w:val="0"/>
                <w:color w:val="auto"/>
                <w:highlight w:val="none"/>
              </w:rPr>
            </w:pPr>
            <w:r>
              <w:rPr>
                <w:rFonts w:hint="eastAsia" w:ascii="宋体" w:hAnsi="宋体" w:cs="宋体"/>
                <w:color w:val="auto"/>
                <w:highlight w:val="none"/>
              </w:rPr>
              <w:t>采用银行保函时，出具保函的银行级别：</w:t>
            </w:r>
            <w:r>
              <w:rPr>
                <w:rFonts w:hint="eastAsia" w:ascii="宋体" w:hAnsi="宋体" w:cs="宋体"/>
                <w:b/>
                <w:color w:val="auto"/>
                <w:kern w:val="0"/>
                <w:highlight w:val="none"/>
                <w:u w:val="single"/>
              </w:rPr>
              <w:t>投标人基本账户所在国有或股份制商业银行（不限于基本账户所在银行具体分支机构）</w:t>
            </w:r>
            <w:r>
              <w:rPr>
                <w:rFonts w:hint="eastAsia" w:ascii="宋体" w:hAnsi="宋体" w:cs="宋体"/>
                <w:snapToGrid w:val="0"/>
                <w:color w:val="auto"/>
                <w:highlight w:val="none"/>
              </w:rPr>
              <w:t>。</w:t>
            </w:r>
          </w:p>
          <w:p>
            <w:pPr>
              <w:autoSpaceDE w:val="0"/>
              <w:autoSpaceDN w:val="0"/>
              <w:spacing w:line="360" w:lineRule="exact"/>
              <w:jc w:val="left"/>
              <w:rPr>
                <w:rFonts w:cs="T3Font_0"/>
                <w:color w:val="auto"/>
                <w:kern w:val="0"/>
                <w:highlight w:val="none"/>
              </w:rPr>
            </w:pPr>
            <w:r>
              <w:rPr>
                <w:rFonts w:hint="eastAsia"/>
                <w:color w:val="auto"/>
                <w:highlight w:val="none"/>
              </w:rPr>
              <w:t>□不要求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3.4.3</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投标保证金的利息计算原则</w:t>
            </w:r>
          </w:p>
        </w:tc>
        <w:tc>
          <w:tcPr>
            <w:tcW w:w="3158" w:type="pct"/>
            <w:vAlign w:val="center"/>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（1）计算利息的起始日期为投标截止当日，终止日期为招标人退还投标保证金日期的前一日；</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（2）投标保证金的利息按照第（1）款所述计息时间段内招标人指定汇入银行公告的活期存款利率计付，并扣除招标人汇款手续费；</w:t>
            </w:r>
          </w:p>
          <w:p>
            <w:pPr>
              <w:widowControl/>
              <w:adjustRightInd w:val="0"/>
              <w:snapToGrid w:val="0"/>
              <w:spacing w:line="360" w:lineRule="auto"/>
              <w:jc w:val="left"/>
              <w:rPr>
                <w:rFonts w:cs="宋体"/>
                <w:color w:val="auto"/>
                <w:kern w:val="0"/>
                <w:highlight w:val="none"/>
                <w:u w:val="single"/>
              </w:rPr>
            </w:pPr>
            <w:r>
              <w:rPr>
                <w:rFonts w:hint="eastAsia" w:cs="宋体"/>
                <w:color w:val="auto"/>
                <w:kern w:val="0"/>
                <w:highlight w:val="none"/>
              </w:rPr>
              <w:t>（3）利息金额计算至分位，分以下尾数四舍五入。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3.4.4</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其他可以不予退还投标保证金的情形</w:t>
            </w:r>
          </w:p>
        </w:tc>
        <w:tc>
          <w:tcPr>
            <w:tcW w:w="3158" w:type="pct"/>
            <w:vAlign w:val="center"/>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a、投标人不接受依据评标办法的规定对其投标文件中细微偏差进行澄清和补正；</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b、投标人提交了虚假资料。</w:t>
            </w: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c、投标人有串标、围标、“挂靠”其他单位参与投标，贿赂评标专家或招标人工作人员，以及其他违反国家招投标管理有关规定的行为。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3.5</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资格审查资料的特殊要求</w:t>
            </w:r>
          </w:p>
        </w:tc>
        <w:tc>
          <w:tcPr>
            <w:tcW w:w="3158" w:type="pct"/>
            <w:vAlign w:val="center"/>
          </w:tcPr>
          <w:p>
            <w:pPr>
              <w:widowControl/>
              <w:adjustRightInd w:val="0"/>
              <w:snapToGrid w:val="0"/>
              <w:spacing w:line="360" w:lineRule="auto"/>
              <w:jc w:val="left"/>
              <w:rPr>
                <w:color w:val="auto"/>
                <w:kern w:val="0"/>
                <w:highlight w:val="none"/>
              </w:rPr>
            </w:pPr>
            <w:r>
              <w:rPr>
                <w:rFonts w:hint="eastAsia"/>
                <w:color w:val="auto"/>
                <w:kern w:val="0"/>
                <w:highlight w:val="none"/>
              </w:rPr>
              <w:sym w:font="Wingdings 2" w:char="0052"/>
            </w:r>
            <w:r>
              <w:rPr>
                <w:rFonts w:hint="eastAsia"/>
                <w:color w:val="auto"/>
                <w:kern w:val="0"/>
                <w:highlight w:val="none"/>
              </w:rPr>
              <w:t>无</w:t>
            </w:r>
          </w:p>
          <w:p>
            <w:pPr>
              <w:widowControl/>
              <w:adjustRightInd w:val="0"/>
              <w:snapToGrid w:val="0"/>
              <w:spacing w:line="360" w:lineRule="auto"/>
              <w:jc w:val="left"/>
              <w:rPr>
                <w:color w:val="auto"/>
                <w:kern w:val="0"/>
                <w:highlight w:val="none"/>
              </w:rPr>
            </w:pPr>
            <w:r>
              <w:rPr>
                <w:rFonts w:hint="eastAsia"/>
                <w:color w:val="auto"/>
                <w:kern w:val="0"/>
                <w:highlight w:val="none"/>
              </w:rPr>
              <w:sym w:font="Wingdings 2" w:char="00A3"/>
            </w:r>
            <w:r>
              <w:rPr>
                <w:rFonts w:hint="eastAsia"/>
                <w:color w:val="auto"/>
                <w:kern w:val="0"/>
                <w:highlight w:val="none"/>
              </w:rPr>
              <w:t>有,具体要求：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3.5.2</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近年财务状况的年份要求</w:t>
            </w:r>
          </w:p>
        </w:tc>
        <w:tc>
          <w:tcPr>
            <w:tcW w:w="3158" w:type="pct"/>
            <w:vAlign w:val="center"/>
          </w:tcPr>
          <w:p>
            <w:pPr>
              <w:widowControl/>
              <w:adjustRightInd w:val="0"/>
              <w:snapToGrid w:val="0"/>
              <w:spacing w:line="360" w:lineRule="auto"/>
              <w:jc w:val="left"/>
              <w:rPr>
                <w:rFonts w:cs="宋体"/>
                <w:color w:val="auto"/>
                <w:kern w:val="0"/>
                <w:highlight w:val="none"/>
              </w:rPr>
            </w:pPr>
          </w:p>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3.5.3</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近年完成的类似项目的年份要求</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自2018年1月1日以来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3.6</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是否允许递交备选投标方案</w:t>
            </w:r>
          </w:p>
        </w:tc>
        <w:tc>
          <w:tcPr>
            <w:tcW w:w="3158" w:type="pct"/>
            <w:vAlign w:val="center"/>
          </w:tcPr>
          <w:p>
            <w:pPr>
              <w:widowControl/>
              <w:adjustRightInd w:val="0"/>
              <w:snapToGrid w:val="0"/>
              <w:spacing w:line="360" w:lineRule="auto"/>
              <w:jc w:val="left"/>
              <w:rPr>
                <w:color w:val="auto"/>
                <w:kern w:val="0"/>
                <w:highlight w:val="none"/>
              </w:rPr>
            </w:pPr>
            <w:r>
              <w:rPr>
                <w:rFonts w:hint="eastAsia"/>
                <w:color w:val="auto"/>
                <w:kern w:val="0"/>
                <w:highlight w:val="none"/>
              </w:rPr>
              <w:t>□允许</w:t>
            </w:r>
          </w:p>
          <w:p>
            <w:pPr>
              <w:widowControl/>
              <w:adjustRightInd w:val="0"/>
              <w:snapToGrid w:val="0"/>
              <w:spacing w:line="360" w:lineRule="auto"/>
              <w:jc w:val="left"/>
              <w:rPr>
                <w:rFonts w:cs="宋体"/>
                <w:color w:val="auto"/>
                <w:highlight w:val="none"/>
                <w:u w:val="single"/>
              </w:rPr>
            </w:pPr>
            <w:r>
              <w:rPr>
                <w:rFonts w:hint="eastAsia"/>
                <w:color w:val="auto"/>
                <w:kern w:val="0"/>
                <w:highlight w:val="none"/>
              </w:rPr>
              <w:sym w:font="Wingdings 2" w:char="0052"/>
            </w:r>
            <w:r>
              <w:rPr>
                <w:rFonts w:hint="eastAsia"/>
                <w:color w:val="auto"/>
                <w:kern w:val="0"/>
                <w:highlight w:val="none"/>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3.7.4</w:t>
            </w:r>
          </w:p>
        </w:tc>
        <w:tc>
          <w:tcPr>
            <w:tcW w:w="938" w:type="pct"/>
            <w:vAlign w:val="center"/>
          </w:tcPr>
          <w:p>
            <w:pPr>
              <w:spacing w:line="340" w:lineRule="exact"/>
              <w:jc w:val="center"/>
              <w:rPr>
                <w:rFonts w:cs="宋体"/>
                <w:color w:val="auto"/>
                <w:highlight w:val="none"/>
              </w:rPr>
            </w:pPr>
            <w:r>
              <w:rPr>
                <w:rFonts w:hint="eastAsia" w:cs="宋体"/>
                <w:color w:val="auto"/>
                <w:highlight w:val="none"/>
              </w:rPr>
              <w:t>投标文件副本份数及其他要求</w:t>
            </w:r>
          </w:p>
        </w:tc>
        <w:tc>
          <w:tcPr>
            <w:tcW w:w="3158" w:type="pct"/>
            <w:vAlign w:val="center"/>
          </w:tcPr>
          <w:p>
            <w:pPr>
              <w:spacing w:line="380" w:lineRule="exact"/>
              <w:rPr>
                <w:color w:val="auto"/>
                <w:highlight w:val="none"/>
              </w:rPr>
            </w:pPr>
            <w:r>
              <w:rPr>
                <w:rFonts w:hint="eastAsia"/>
                <w:color w:val="auto"/>
                <w:highlight w:val="none"/>
              </w:rPr>
              <w:t>投标文件正副本份数：投标文件正本1份、副本</w:t>
            </w:r>
            <w:r>
              <w:rPr>
                <w:color w:val="auto"/>
                <w:highlight w:val="none"/>
              </w:rPr>
              <w:t>2</w:t>
            </w:r>
            <w:r>
              <w:rPr>
                <w:rFonts w:hint="eastAsia"/>
                <w:color w:val="auto"/>
                <w:highlight w:val="none"/>
              </w:rPr>
              <w:t>份。</w:t>
            </w:r>
          </w:p>
          <w:p>
            <w:pPr>
              <w:spacing w:line="380" w:lineRule="exact"/>
              <w:rPr>
                <w:color w:val="auto"/>
                <w:highlight w:val="none"/>
              </w:rPr>
            </w:pPr>
            <w:r>
              <w:rPr>
                <w:rFonts w:hint="eastAsia"/>
                <w:color w:val="auto"/>
                <w:highlight w:val="none"/>
              </w:rPr>
              <w:t>中标人在办理合同签订手续时再提交副本若干份，具体份数由发包人确定，副本为正本的复制件（投标人编制投标文件时，务必自留一份投标文件以便中标后复制）。</w:t>
            </w:r>
          </w:p>
          <w:p>
            <w:pPr>
              <w:spacing w:line="380" w:lineRule="exact"/>
              <w:rPr>
                <w:color w:val="auto"/>
                <w:highlight w:val="none"/>
              </w:rPr>
            </w:pPr>
            <w:r>
              <w:rPr>
                <w:rFonts w:hint="eastAsia"/>
                <w:color w:val="auto"/>
                <w:highlight w:val="none"/>
              </w:rPr>
              <w:t>是否要求提交电子版文件：是，储存介质为U盘。电子文档中文件用WORD（2003）软件制作，电子文件不得设置密码并保证无病毒。</w:t>
            </w:r>
          </w:p>
          <w:p>
            <w:pPr>
              <w:pStyle w:val="20"/>
              <w:topLinePunct/>
              <w:spacing w:line="340" w:lineRule="exact"/>
              <w:rPr>
                <w:rFonts w:ascii="Times New Roman"/>
                <w:color w:val="auto"/>
                <w:kern w:val="0"/>
                <w:sz w:val="21"/>
                <w:szCs w:val="21"/>
                <w:highlight w:val="none"/>
              </w:rPr>
            </w:pPr>
            <w:r>
              <w:rPr>
                <w:rFonts w:hint="eastAsia"/>
                <w:color w:val="auto"/>
                <w:sz w:val="21"/>
                <w:szCs w:val="21"/>
                <w:highlight w:val="none"/>
              </w:rPr>
              <w:t>其他要求：全套投标文件应无涂改、无行间插字等手写修改内容，确需手写修改的，投标人须在修改处加盖投标人公章或授权人签名。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adjustRightInd w:val="0"/>
              <w:snapToGrid w:val="0"/>
              <w:spacing w:line="380" w:lineRule="exact"/>
              <w:jc w:val="center"/>
              <w:rPr>
                <w:rFonts w:cs="宋体"/>
                <w:color w:val="auto"/>
                <w:kern w:val="0"/>
                <w:highlight w:val="none"/>
              </w:rPr>
            </w:pPr>
            <w:r>
              <w:rPr>
                <w:color w:val="auto"/>
                <w:highlight w:val="none"/>
              </w:rPr>
              <w:t>3.7.5</w:t>
            </w:r>
          </w:p>
        </w:tc>
        <w:tc>
          <w:tcPr>
            <w:tcW w:w="938" w:type="pct"/>
            <w:vAlign w:val="center"/>
          </w:tcPr>
          <w:p>
            <w:pPr>
              <w:adjustRightInd w:val="0"/>
              <w:snapToGrid w:val="0"/>
              <w:spacing w:line="380" w:lineRule="exact"/>
              <w:jc w:val="center"/>
              <w:rPr>
                <w:rFonts w:cs="宋体"/>
                <w:color w:val="auto"/>
                <w:highlight w:val="none"/>
              </w:rPr>
            </w:pPr>
            <w:r>
              <w:rPr>
                <w:color w:val="auto"/>
                <w:highlight w:val="none"/>
              </w:rPr>
              <w:t>装订的其他要求</w:t>
            </w:r>
          </w:p>
        </w:tc>
        <w:tc>
          <w:tcPr>
            <w:tcW w:w="3158" w:type="pct"/>
            <w:vAlign w:val="center"/>
          </w:tcPr>
          <w:p>
            <w:pPr>
              <w:adjustRightInd w:val="0"/>
              <w:snapToGrid w:val="0"/>
              <w:spacing w:line="380" w:lineRule="exact"/>
              <w:rPr>
                <w:color w:val="auto"/>
                <w:highlight w:val="none"/>
              </w:rPr>
            </w:pPr>
            <w:r>
              <w:rPr>
                <w:b/>
                <w:color w:val="auto"/>
                <w:highlight w:val="none"/>
              </w:rPr>
              <w:t>投标文件应分正副本装订成册</w:t>
            </w:r>
            <w:r>
              <w:rPr>
                <w:color w:val="auto"/>
                <w:highlight w:val="none"/>
              </w:rPr>
              <w:t>，应编制目录，且逐页标注连续页码。投标文件不得采用活页夹装订。投标文件应编制目录，并标注页码，否则，招标人对由于投标文件装订松散而造成的丢失或其它后果不承担任何责任。每个篇章用彩色纸张隔离，以便查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spacing w:line="380" w:lineRule="exact"/>
              <w:jc w:val="center"/>
              <w:rPr>
                <w:rFonts w:cs="宋体"/>
                <w:color w:val="auto"/>
                <w:kern w:val="0"/>
                <w:highlight w:val="none"/>
              </w:rPr>
            </w:pPr>
            <w:r>
              <w:rPr>
                <w:rFonts w:hint="eastAsia" w:ascii="宋体" w:hAnsi="宋体"/>
                <w:color w:val="auto"/>
                <w:highlight w:val="none"/>
              </w:rPr>
              <w:t>4.1.2</w:t>
            </w:r>
          </w:p>
        </w:tc>
        <w:tc>
          <w:tcPr>
            <w:tcW w:w="938" w:type="pct"/>
            <w:vAlign w:val="center"/>
          </w:tcPr>
          <w:p>
            <w:pPr>
              <w:spacing w:line="380" w:lineRule="exact"/>
              <w:jc w:val="center"/>
              <w:rPr>
                <w:rFonts w:cs="宋体"/>
                <w:color w:val="auto"/>
                <w:highlight w:val="none"/>
              </w:rPr>
            </w:pPr>
            <w:r>
              <w:rPr>
                <w:rFonts w:hint="eastAsia"/>
                <w:color w:val="auto"/>
                <w:highlight w:val="none"/>
              </w:rPr>
              <w:t>封套上写明</w:t>
            </w:r>
          </w:p>
        </w:tc>
        <w:tc>
          <w:tcPr>
            <w:tcW w:w="3158" w:type="pct"/>
          </w:tcPr>
          <w:p>
            <w:pPr>
              <w:rPr>
                <w:rFonts w:ascii="宋体" w:hAnsi="宋体"/>
                <w:color w:val="auto"/>
                <w:highlight w:val="none"/>
              </w:rPr>
            </w:pPr>
            <w:r>
              <w:rPr>
                <w:rFonts w:hint="eastAsia" w:ascii="宋体" w:hAnsi="宋体"/>
                <w:color w:val="auto"/>
                <w:highlight w:val="none"/>
              </w:rPr>
              <w:t>投标文件第一信封(商务及技术文件)封套：</w:t>
            </w:r>
          </w:p>
          <w:p>
            <w:pPr>
              <w:rPr>
                <w:rFonts w:ascii="宋体" w:hAnsi="宋体"/>
                <w:color w:val="auto"/>
                <w:highlight w:val="none"/>
              </w:rPr>
            </w:pPr>
            <w:r>
              <w:rPr>
                <w:rFonts w:hint="eastAsia" w:ascii="宋体" w:hAnsi="宋体"/>
                <w:color w:val="auto"/>
                <w:highlight w:val="none"/>
              </w:rPr>
              <w:t>招标人名称：__________________</w:t>
            </w:r>
          </w:p>
          <w:p>
            <w:pPr>
              <w:rPr>
                <w:rFonts w:ascii="宋体" w:hAnsi="宋体"/>
                <w:color w:val="auto"/>
                <w:highlight w:val="none"/>
              </w:rPr>
            </w:pPr>
            <w:r>
              <w:rPr>
                <w:rFonts w:hint="eastAsia" w:ascii="宋体" w:hAnsi="宋体"/>
                <w:color w:val="auto"/>
                <w:highlight w:val="none"/>
              </w:rPr>
              <w:t>招标人地址：__________________</w:t>
            </w:r>
          </w:p>
          <w:p>
            <w:pPr>
              <w:rPr>
                <w:rFonts w:ascii="宋体" w:hAnsi="宋体"/>
                <w:color w:val="auto"/>
                <w:highlight w:val="none"/>
              </w:rPr>
            </w:pPr>
            <w:r>
              <w:rPr>
                <w:rFonts w:hint="eastAsia" w:ascii="宋体" w:hAnsi="宋体"/>
                <w:color w:val="auto"/>
                <w:highlight w:val="none"/>
              </w:rPr>
              <w:t>______(项目名称)_______标段第一信封(商务及技术文件)投标文件</w:t>
            </w:r>
          </w:p>
          <w:p>
            <w:pPr>
              <w:rPr>
                <w:rFonts w:ascii="宋体" w:hAnsi="宋体"/>
                <w:color w:val="auto"/>
                <w:highlight w:val="none"/>
              </w:rPr>
            </w:pPr>
            <w:r>
              <w:rPr>
                <w:rFonts w:hint="eastAsia" w:ascii="宋体" w:hAnsi="宋体"/>
                <w:color w:val="auto"/>
                <w:highlight w:val="none"/>
              </w:rPr>
              <w:t>在</w:t>
            </w:r>
            <w:r>
              <w:rPr>
                <w:rFonts w:hint="eastAsia" w:ascii="宋体" w:hAnsi="宋体"/>
                <w:color w:val="auto"/>
                <w:highlight w:val="none"/>
                <w:u w:val="single"/>
              </w:rPr>
              <w:t>_____</w:t>
            </w:r>
            <w:r>
              <w:rPr>
                <w:rFonts w:hint="eastAsia" w:ascii="宋体" w:hAnsi="宋体"/>
                <w:color w:val="auto"/>
                <w:highlight w:val="none"/>
              </w:rPr>
              <w:t>年</w:t>
            </w:r>
            <w:r>
              <w:rPr>
                <w:rFonts w:hint="eastAsia" w:ascii="宋体" w:hAnsi="宋体"/>
                <w:color w:val="auto"/>
                <w:highlight w:val="none"/>
                <w:u w:val="single"/>
              </w:rPr>
              <w:t>_____</w:t>
            </w:r>
            <w:r>
              <w:rPr>
                <w:rFonts w:hint="eastAsia" w:ascii="宋体" w:hAnsi="宋体"/>
                <w:color w:val="auto"/>
                <w:highlight w:val="none"/>
              </w:rPr>
              <w:t>月</w:t>
            </w:r>
            <w:r>
              <w:rPr>
                <w:rFonts w:hint="eastAsia" w:ascii="宋体" w:hAnsi="宋体"/>
                <w:color w:val="auto"/>
                <w:highlight w:val="none"/>
                <w:u w:val="single"/>
              </w:rPr>
              <w:t>_____</w:t>
            </w:r>
            <w:r>
              <w:rPr>
                <w:rFonts w:hint="eastAsia" w:ascii="宋体" w:hAnsi="宋体"/>
                <w:color w:val="auto"/>
                <w:highlight w:val="none"/>
              </w:rPr>
              <w:t>日_____时_____分前不得开启</w:t>
            </w:r>
          </w:p>
          <w:p>
            <w:pPr>
              <w:rPr>
                <w:rFonts w:ascii="宋体" w:hAnsi="宋体"/>
                <w:color w:val="auto"/>
                <w:highlight w:val="none"/>
              </w:rPr>
            </w:pPr>
            <w:r>
              <w:rPr>
                <w:rFonts w:hint="eastAsia" w:ascii="宋体" w:hAnsi="宋体"/>
                <w:color w:val="auto"/>
                <w:highlight w:val="none"/>
              </w:rPr>
              <w:t>投标人名称：__________________</w:t>
            </w: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投标文件第二信封(报价文件)封套：</w:t>
            </w:r>
          </w:p>
          <w:p>
            <w:pPr>
              <w:rPr>
                <w:rFonts w:ascii="宋体" w:hAnsi="宋体"/>
                <w:color w:val="auto"/>
                <w:highlight w:val="none"/>
              </w:rPr>
            </w:pPr>
            <w:r>
              <w:rPr>
                <w:rFonts w:hint="eastAsia" w:ascii="宋体" w:hAnsi="宋体"/>
                <w:color w:val="auto"/>
                <w:highlight w:val="none"/>
              </w:rPr>
              <w:t>招标人名称：__________________</w:t>
            </w:r>
          </w:p>
          <w:p>
            <w:pPr>
              <w:rPr>
                <w:rFonts w:ascii="宋体" w:hAnsi="宋体"/>
                <w:color w:val="auto"/>
                <w:highlight w:val="none"/>
              </w:rPr>
            </w:pPr>
            <w:r>
              <w:rPr>
                <w:rFonts w:hint="eastAsia" w:ascii="宋体" w:hAnsi="宋体"/>
                <w:color w:val="auto"/>
                <w:highlight w:val="none"/>
              </w:rPr>
              <w:t>招标人地址：__________________</w:t>
            </w:r>
          </w:p>
          <w:p>
            <w:pPr>
              <w:rPr>
                <w:rFonts w:ascii="宋体" w:hAnsi="宋体"/>
                <w:color w:val="auto"/>
                <w:highlight w:val="none"/>
              </w:rPr>
            </w:pPr>
            <w:r>
              <w:rPr>
                <w:rFonts w:hint="eastAsia" w:ascii="宋体" w:hAnsi="宋体"/>
                <w:color w:val="auto"/>
                <w:highlight w:val="none"/>
              </w:rPr>
              <w:t>______(项目名称)_______标段第二信封(报价文件)投标文件</w:t>
            </w:r>
          </w:p>
          <w:p>
            <w:pPr>
              <w:rPr>
                <w:rFonts w:ascii="宋体" w:hAnsi="宋体"/>
                <w:color w:val="auto"/>
                <w:highlight w:val="none"/>
              </w:rPr>
            </w:pPr>
            <w:r>
              <w:rPr>
                <w:rFonts w:hint="eastAsia" w:ascii="宋体" w:hAnsi="宋体"/>
                <w:color w:val="auto"/>
                <w:highlight w:val="none"/>
              </w:rPr>
              <w:t>在投标文件第二信封(报价文件)开标前不得开启</w:t>
            </w:r>
          </w:p>
          <w:p>
            <w:pPr>
              <w:rPr>
                <w:rFonts w:ascii="宋体" w:hAnsi="宋体"/>
                <w:color w:val="auto"/>
                <w:highlight w:val="none"/>
              </w:rPr>
            </w:pPr>
            <w:r>
              <w:rPr>
                <w:rFonts w:hint="eastAsia" w:ascii="宋体" w:hAnsi="宋体"/>
                <w:color w:val="auto"/>
                <w:highlight w:val="none"/>
              </w:rPr>
              <w:t>投标人名称：__________________</w:t>
            </w:r>
          </w:p>
          <w:p>
            <w:pPr>
              <w:rPr>
                <w:color w:val="auto"/>
                <w:highlight w:val="none"/>
              </w:rPr>
            </w:pPr>
            <w:r>
              <w:rPr>
                <w:rFonts w:hint="eastAsia" w:ascii="宋体" w:hAnsi="宋体"/>
                <w:color w:val="auto"/>
                <w:highlight w:val="none"/>
              </w:rPr>
              <w:t>投标人地址：__________________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adjustRightInd w:val="0"/>
              <w:snapToGrid w:val="0"/>
              <w:spacing w:line="380" w:lineRule="exact"/>
              <w:jc w:val="center"/>
              <w:rPr>
                <w:rFonts w:cs="宋体"/>
                <w:color w:val="auto"/>
                <w:kern w:val="0"/>
                <w:highlight w:val="none"/>
              </w:rPr>
            </w:pPr>
            <w:r>
              <w:rPr>
                <w:color w:val="auto"/>
                <w:highlight w:val="none"/>
              </w:rPr>
              <w:t>4.2.2</w:t>
            </w:r>
          </w:p>
        </w:tc>
        <w:tc>
          <w:tcPr>
            <w:tcW w:w="938" w:type="pct"/>
            <w:vAlign w:val="center"/>
          </w:tcPr>
          <w:p>
            <w:pPr>
              <w:adjustRightInd w:val="0"/>
              <w:snapToGrid w:val="0"/>
              <w:spacing w:line="380" w:lineRule="exact"/>
              <w:jc w:val="center"/>
              <w:rPr>
                <w:rFonts w:cs="宋体"/>
                <w:color w:val="auto"/>
                <w:highlight w:val="none"/>
              </w:rPr>
            </w:pPr>
            <w:r>
              <w:rPr>
                <w:color w:val="auto"/>
                <w:highlight w:val="none"/>
              </w:rPr>
              <w:t>递交投标文件地点</w:t>
            </w:r>
          </w:p>
        </w:tc>
        <w:tc>
          <w:tcPr>
            <w:tcW w:w="3158" w:type="pct"/>
            <w:vAlign w:val="center"/>
          </w:tcPr>
          <w:p>
            <w:pPr>
              <w:spacing w:line="380" w:lineRule="exact"/>
              <w:jc w:val="left"/>
              <w:rPr>
                <w:color w:val="auto"/>
                <w:highlight w:val="none"/>
              </w:rPr>
            </w:pPr>
            <w:r>
              <w:rPr>
                <w:rFonts w:hint="eastAsia" w:ascii="宋体" w:hAnsi="宋体"/>
                <w:color w:val="auto"/>
                <w:kern w:val="0"/>
                <w:highlight w:val="none"/>
              </w:rPr>
              <w:t>详见招标公告及补遗书（若有）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adjustRightInd w:val="0"/>
              <w:snapToGrid w:val="0"/>
              <w:spacing w:line="380" w:lineRule="exact"/>
              <w:jc w:val="center"/>
              <w:rPr>
                <w:rFonts w:cs="宋体"/>
                <w:color w:val="auto"/>
                <w:highlight w:val="none"/>
              </w:rPr>
            </w:pPr>
            <w:r>
              <w:rPr>
                <w:color w:val="auto"/>
                <w:highlight w:val="none"/>
              </w:rPr>
              <w:t>3.7.5</w:t>
            </w:r>
          </w:p>
        </w:tc>
        <w:tc>
          <w:tcPr>
            <w:tcW w:w="938" w:type="pct"/>
            <w:vAlign w:val="center"/>
          </w:tcPr>
          <w:p>
            <w:pPr>
              <w:adjustRightInd w:val="0"/>
              <w:snapToGrid w:val="0"/>
              <w:spacing w:line="380" w:lineRule="exact"/>
              <w:jc w:val="center"/>
              <w:rPr>
                <w:rFonts w:cs="宋体"/>
                <w:color w:val="auto"/>
                <w:highlight w:val="none"/>
              </w:rPr>
            </w:pPr>
            <w:r>
              <w:rPr>
                <w:color w:val="auto"/>
                <w:highlight w:val="none"/>
              </w:rPr>
              <w:t>装订的其他要求</w:t>
            </w:r>
          </w:p>
        </w:tc>
        <w:tc>
          <w:tcPr>
            <w:tcW w:w="3158" w:type="pct"/>
            <w:vAlign w:val="center"/>
          </w:tcPr>
          <w:p>
            <w:pPr>
              <w:adjustRightInd w:val="0"/>
              <w:snapToGrid w:val="0"/>
              <w:spacing w:line="380" w:lineRule="exact"/>
              <w:rPr>
                <w:rFonts w:cs="宋体"/>
                <w:color w:val="auto"/>
                <w:highlight w:val="none"/>
                <w:u w:val="single"/>
              </w:rPr>
            </w:pPr>
            <w:r>
              <w:rPr>
                <w:b/>
                <w:color w:val="auto"/>
                <w:highlight w:val="none"/>
              </w:rPr>
              <w:t>投标文件应分正副本装订成册</w:t>
            </w:r>
            <w:r>
              <w:rPr>
                <w:color w:val="auto"/>
                <w:highlight w:val="none"/>
              </w:rPr>
              <w:t>，应编制目录，且逐页标注连续页码。投标文件不得采用活页夹装订。投标文件应编制目录，并标注页码，否则，招标人对由于投标文件装订松散而造成的丢失或其它后果不承担任何责任。每个篇章用彩色纸张隔离，以便查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5.1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开标时间和地点</w:t>
            </w:r>
          </w:p>
        </w:tc>
        <w:tc>
          <w:tcPr>
            <w:tcW w:w="3158" w:type="pct"/>
            <w:vAlign w:val="center"/>
          </w:tcPr>
          <w:p>
            <w:pPr>
              <w:widowControl/>
              <w:adjustRightInd w:val="0"/>
              <w:snapToGrid w:val="0"/>
              <w:spacing w:line="360" w:lineRule="auto"/>
              <w:jc w:val="left"/>
              <w:rPr>
                <w:rFonts w:cs="宋体"/>
                <w:color w:val="auto"/>
                <w:kern w:val="0"/>
                <w:highlight w:val="none"/>
              </w:rPr>
            </w:pPr>
            <w:r>
              <w:rPr>
                <w:rFonts w:hint="eastAsia" w:cs="宋体"/>
                <w:color w:val="auto"/>
                <w:highlight w:val="none"/>
              </w:rPr>
              <w:t>详见招标公告及补遗书。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5.2.1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开标程序</w:t>
            </w:r>
          </w:p>
        </w:tc>
        <w:tc>
          <w:tcPr>
            <w:tcW w:w="3158" w:type="pct"/>
            <w:vAlign w:val="center"/>
          </w:tcPr>
          <w:p>
            <w:pPr>
              <w:rPr>
                <w:color w:val="auto"/>
                <w:highlight w:val="none"/>
              </w:rPr>
            </w:pPr>
            <w:r>
              <w:rPr>
                <w:color w:val="auto"/>
                <w:highlight w:val="none"/>
              </w:rPr>
              <w:t>（4）密封情况检查：</w:t>
            </w:r>
            <w:r>
              <w:rPr>
                <w:color w:val="auto"/>
                <w:highlight w:val="none"/>
                <w:u w:val="single"/>
              </w:rPr>
              <w:t>检查</w:t>
            </w:r>
            <w:r>
              <w:rPr>
                <w:rFonts w:hint="eastAsia"/>
                <w:color w:val="auto"/>
                <w:highlight w:val="none"/>
                <w:u w:val="single"/>
              </w:rPr>
              <w:t>投标</w:t>
            </w:r>
            <w:r>
              <w:rPr>
                <w:color w:val="auto"/>
                <w:highlight w:val="none"/>
                <w:u w:val="single"/>
              </w:rPr>
              <w:t>文件是否存在提前开启情况</w:t>
            </w:r>
            <w:r>
              <w:rPr>
                <w:color w:val="auto"/>
                <w:highlight w:val="none"/>
              </w:rPr>
              <w:t>。</w:t>
            </w:r>
          </w:p>
          <w:p>
            <w:pPr>
              <w:widowControl/>
              <w:adjustRightInd w:val="0"/>
              <w:snapToGrid w:val="0"/>
              <w:spacing w:line="360" w:lineRule="auto"/>
              <w:jc w:val="left"/>
              <w:rPr>
                <w:rFonts w:cs="宋体"/>
                <w:color w:val="auto"/>
                <w:kern w:val="0"/>
                <w:highlight w:val="none"/>
              </w:rPr>
            </w:pPr>
            <w:r>
              <w:rPr>
                <w:color w:val="auto"/>
                <w:highlight w:val="none"/>
              </w:rPr>
              <w:t>(5)开标顺序：</w:t>
            </w:r>
            <w:r>
              <w:rPr>
                <w:color w:val="auto"/>
                <w:highlight w:val="none"/>
                <w:u w:val="single"/>
              </w:rPr>
              <w:t>开标现场随机确定</w:t>
            </w:r>
            <w:r>
              <w:rPr>
                <w:color w:val="auto"/>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 w:hRule="atLeast"/>
        </w:trPr>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6.1.1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评标委员会的组建</w:t>
            </w:r>
          </w:p>
        </w:tc>
        <w:tc>
          <w:tcPr>
            <w:tcW w:w="3158" w:type="pct"/>
            <w:vAlign w:val="center"/>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评标委员会构成：5人或5人以上单数；其中招标人代表不超过</w:t>
            </w:r>
            <w:r>
              <w:rPr>
                <w:rFonts w:cs="宋体"/>
                <w:color w:val="auto"/>
                <w:kern w:val="0"/>
                <w:highlight w:val="none"/>
              </w:rPr>
              <w:t>1/3</w:t>
            </w:r>
            <w:r>
              <w:rPr>
                <w:rFonts w:hint="eastAsia" w:cs="宋体"/>
                <w:color w:val="auto"/>
                <w:kern w:val="0"/>
                <w:highlight w:val="none"/>
              </w:rPr>
              <w:t>，专家不少于</w:t>
            </w:r>
            <w:r>
              <w:rPr>
                <w:rFonts w:cs="宋体"/>
                <w:color w:val="auto"/>
                <w:kern w:val="0"/>
                <w:highlight w:val="none"/>
              </w:rPr>
              <w:t>2/3</w:t>
            </w:r>
            <w:r>
              <w:rPr>
                <w:rFonts w:hint="eastAsia" w:cs="宋体"/>
                <w:color w:val="auto"/>
                <w:kern w:val="0"/>
                <w:highlight w:val="none"/>
              </w:rPr>
              <w:t>。</w:t>
            </w:r>
          </w:p>
          <w:p>
            <w:pPr>
              <w:widowControl/>
              <w:tabs>
                <w:tab w:val="left" w:pos="312"/>
              </w:tabs>
              <w:adjustRightInd w:val="0"/>
              <w:snapToGrid w:val="0"/>
              <w:spacing w:line="360" w:lineRule="auto"/>
              <w:jc w:val="left"/>
              <w:rPr>
                <w:rFonts w:cs="宋体"/>
                <w:color w:val="auto"/>
                <w:kern w:val="0"/>
                <w:highlight w:val="none"/>
              </w:rPr>
            </w:pPr>
            <w:r>
              <w:rPr>
                <w:rFonts w:hint="eastAsia" w:cs="宋体"/>
                <w:color w:val="auto"/>
                <w:kern w:val="0"/>
                <w:highlight w:val="none"/>
              </w:rPr>
              <w:t>评标专家确定方式：从江苏省综合评标（审）专家库中随机抽取。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 w:hRule="atLeast"/>
        </w:trPr>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6.3.2</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评标委员会推荐中标候选人的人数</w:t>
            </w:r>
          </w:p>
        </w:tc>
        <w:tc>
          <w:tcPr>
            <w:tcW w:w="3158" w:type="pct"/>
            <w:vAlign w:val="center"/>
          </w:tcPr>
          <w:p>
            <w:pPr>
              <w:widowControl/>
              <w:adjustRightInd w:val="0"/>
              <w:snapToGrid w:val="0"/>
              <w:spacing w:line="360" w:lineRule="auto"/>
              <w:jc w:val="left"/>
              <w:rPr>
                <w:rFonts w:cs="宋体"/>
                <w:color w:val="auto"/>
                <w:highlight w:val="none"/>
              </w:rPr>
            </w:pPr>
            <w:r>
              <w:rPr>
                <w:rFonts w:hint="eastAsia" w:cs="宋体"/>
                <w:color w:val="auto"/>
                <w:highlight w:val="none"/>
              </w:rPr>
              <w:t>评标委员会推荐的中标候选人的数量为</w:t>
            </w:r>
            <w:r>
              <w:rPr>
                <w:color w:val="auto"/>
                <w:highlight w:val="none"/>
              </w:rPr>
              <w:t>3</w:t>
            </w:r>
            <w:r>
              <w:rPr>
                <w:rFonts w:hint="eastAsia" w:cs="宋体"/>
                <w:color w:val="auto"/>
                <w:highlight w:val="none"/>
              </w:rPr>
              <w:t>家，若有效投标人不足</w:t>
            </w:r>
            <w:r>
              <w:rPr>
                <w:color w:val="auto"/>
                <w:highlight w:val="none"/>
              </w:rPr>
              <w:t>3</w:t>
            </w:r>
            <w:r>
              <w:rPr>
                <w:rFonts w:hint="eastAsia" w:cs="宋体"/>
                <w:color w:val="auto"/>
                <w:highlight w:val="none"/>
              </w:rPr>
              <w:t>家的，则推荐的中标候选人的数量为有效投标人的数量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7.4</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是否授权评标委员会确定中标人</w:t>
            </w:r>
          </w:p>
        </w:tc>
        <w:tc>
          <w:tcPr>
            <w:tcW w:w="3158" w:type="pct"/>
            <w:vAlign w:val="center"/>
          </w:tcPr>
          <w:p>
            <w:pPr>
              <w:widowControl/>
              <w:adjustRightInd w:val="0"/>
              <w:snapToGrid w:val="0"/>
              <w:spacing w:line="360" w:lineRule="auto"/>
              <w:jc w:val="left"/>
              <w:rPr>
                <w:color w:val="auto"/>
                <w:highlight w:val="none"/>
              </w:rPr>
            </w:pPr>
            <w:r>
              <w:rPr>
                <w:rFonts w:hint="eastAsia"/>
                <w:color w:val="auto"/>
                <w:highlight w:val="none"/>
              </w:rPr>
              <w:t>□是</w:t>
            </w:r>
          </w:p>
          <w:p>
            <w:pPr>
              <w:widowControl/>
              <w:adjustRightInd w:val="0"/>
              <w:snapToGrid w:val="0"/>
              <w:spacing w:line="360" w:lineRule="auto"/>
              <w:jc w:val="left"/>
              <w:rPr>
                <w:color w:val="auto"/>
                <w:highlight w:val="none"/>
              </w:rPr>
            </w:pPr>
            <w:r>
              <w:rPr>
                <w:rFonts w:hint="eastAsia"/>
                <w:color w:val="auto"/>
                <w:highlight w:val="none"/>
              </w:rPr>
              <w:sym w:font="Wingdings 2" w:char="0052"/>
            </w:r>
            <w:r>
              <w:rPr>
                <w:rFonts w:hint="eastAsia"/>
                <w:color w:val="auto"/>
                <w:highlight w:val="none"/>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7.5</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中标通知书发出的形式</w:t>
            </w:r>
          </w:p>
        </w:tc>
        <w:tc>
          <w:tcPr>
            <w:tcW w:w="3158" w:type="pct"/>
            <w:vAlign w:val="center"/>
          </w:tcPr>
          <w:p>
            <w:pPr>
              <w:widowControl/>
              <w:adjustRightInd w:val="0"/>
              <w:snapToGrid w:val="0"/>
              <w:spacing w:line="360" w:lineRule="auto"/>
              <w:jc w:val="left"/>
              <w:rPr>
                <w:color w:val="auto"/>
                <w:highlight w:val="none"/>
              </w:rPr>
            </w:pPr>
            <w:r>
              <w:rPr>
                <w:rFonts w:hint="eastAsia"/>
                <w:color w:val="auto"/>
                <w:highlight w:val="none"/>
              </w:rPr>
              <w:t>1中标通知书发出的形式：以传真或电子邮件的形式将中标通知书扫描件发送给中标人，中标通知书原件由中标人自行至招标人处领取。</w:t>
            </w:r>
          </w:p>
          <w:p>
            <w:pPr>
              <w:widowControl/>
              <w:adjustRightInd w:val="0"/>
              <w:snapToGrid w:val="0"/>
              <w:spacing w:line="360" w:lineRule="auto"/>
              <w:jc w:val="left"/>
              <w:rPr>
                <w:rFonts w:cs="宋体"/>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7.6</w:t>
            </w:r>
          </w:p>
        </w:tc>
        <w:tc>
          <w:tcPr>
            <w:tcW w:w="938" w:type="pct"/>
            <w:vAlign w:val="center"/>
          </w:tcPr>
          <w:p>
            <w:pPr>
              <w:autoSpaceDE w:val="0"/>
              <w:autoSpaceDN w:val="0"/>
              <w:adjustRightInd w:val="0"/>
              <w:snapToGrid w:val="0"/>
              <w:spacing w:line="360" w:lineRule="auto"/>
              <w:jc w:val="center"/>
              <w:rPr>
                <w:rFonts w:cs="宋体"/>
                <w:color w:val="auto"/>
                <w:kern w:val="0"/>
                <w:highlight w:val="none"/>
              </w:rPr>
            </w:pPr>
            <w:r>
              <w:rPr>
                <w:rFonts w:hint="eastAsia" w:cs="宋体"/>
                <w:color w:val="auto"/>
                <w:kern w:val="0"/>
                <w:highlight w:val="none"/>
              </w:rPr>
              <w:t>中标结果公告媒介及期限</w:t>
            </w:r>
          </w:p>
        </w:tc>
        <w:tc>
          <w:tcPr>
            <w:tcW w:w="3158" w:type="pct"/>
            <w:vAlign w:val="center"/>
          </w:tcPr>
          <w:p>
            <w:pPr>
              <w:pStyle w:val="20"/>
              <w:topLinePunct/>
              <w:spacing w:line="340" w:lineRule="exact"/>
              <w:rPr>
                <w:rFonts w:ascii="Times New Roman"/>
                <w:color w:val="auto"/>
                <w:sz w:val="21"/>
                <w:szCs w:val="21"/>
                <w:highlight w:val="none"/>
              </w:rPr>
            </w:pPr>
            <w:r>
              <w:rPr>
                <w:rFonts w:hint="eastAsia" w:ascii="Times New Roman"/>
                <w:color w:val="auto"/>
                <w:sz w:val="21"/>
                <w:szCs w:val="21"/>
                <w:highlight w:val="none"/>
              </w:rPr>
              <w:t>公告媒介：</w:t>
            </w:r>
            <w:r>
              <w:rPr>
                <w:rFonts w:hint="eastAsia" w:hAnsi="宋体"/>
                <w:color w:val="auto"/>
                <w:sz w:val="21"/>
                <w:szCs w:val="21"/>
                <w:highlight w:val="none"/>
              </w:rPr>
              <w:t>南通市公共资源交易网（http://zfcg.nantong.gov.cn/）、南通沿海开发集团网（http://www.ncd-group.com/）</w:t>
            </w:r>
          </w:p>
          <w:p>
            <w:pPr>
              <w:widowControl/>
              <w:adjustRightInd w:val="0"/>
              <w:snapToGrid w:val="0"/>
              <w:spacing w:line="360" w:lineRule="auto"/>
              <w:jc w:val="left"/>
              <w:rPr>
                <w:rFonts w:cs="宋体"/>
                <w:color w:val="auto"/>
                <w:highlight w:val="none"/>
              </w:rPr>
            </w:pPr>
            <w:r>
              <w:rPr>
                <w:rFonts w:hint="eastAsia" w:cs="宋体"/>
                <w:color w:val="auto"/>
                <w:highlight w:val="none"/>
              </w:rPr>
              <w:t>公告期限：</w:t>
            </w:r>
            <w:r>
              <w:rPr>
                <w:color w:val="auto"/>
                <w:highlight w:val="none"/>
              </w:rPr>
              <w:t>3</w:t>
            </w:r>
            <w:r>
              <w:rPr>
                <w:rFonts w:hint="eastAsia" w:cs="宋体"/>
                <w:color w:val="auto"/>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7.7.1</w:t>
            </w:r>
          </w:p>
        </w:tc>
        <w:tc>
          <w:tcPr>
            <w:tcW w:w="938" w:type="pct"/>
            <w:vAlign w:val="center"/>
          </w:tcPr>
          <w:p>
            <w:pPr>
              <w:widowControl/>
              <w:adjustRightInd w:val="0"/>
              <w:snapToGrid w:val="0"/>
              <w:spacing w:line="360" w:lineRule="auto"/>
              <w:jc w:val="center"/>
              <w:rPr>
                <w:rFonts w:cs="宋体"/>
                <w:color w:val="auto"/>
                <w:highlight w:val="none"/>
              </w:rPr>
            </w:pPr>
            <w:r>
              <w:rPr>
                <w:rFonts w:hint="eastAsia" w:cs="宋体"/>
                <w:color w:val="auto"/>
                <w:kern w:val="0"/>
                <w:highlight w:val="none"/>
              </w:rPr>
              <w:t>履约保证金</w:t>
            </w:r>
          </w:p>
        </w:tc>
        <w:tc>
          <w:tcPr>
            <w:tcW w:w="3158" w:type="pct"/>
            <w:vAlign w:val="center"/>
          </w:tcPr>
          <w:p>
            <w:pPr>
              <w:widowControl/>
              <w:adjustRightInd w:val="0"/>
              <w:snapToGrid w:val="0"/>
              <w:spacing w:line="360" w:lineRule="auto"/>
              <w:jc w:val="left"/>
              <w:rPr>
                <w:color w:val="auto"/>
                <w:highlight w:val="none"/>
                <w:lang w:val="zh-CN"/>
              </w:rPr>
            </w:pPr>
            <w:r>
              <w:rPr>
                <w:rFonts w:hint="eastAsia"/>
                <w:color w:val="auto"/>
                <w:highlight w:val="none"/>
                <w:lang w:val="zh-CN"/>
              </w:rPr>
              <w:t>是否要求中标人提交履约保证金：</w:t>
            </w:r>
          </w:p>
          <w:p>
            <w:pPr>
              <w:widowControl/>
              <w:adjustRightInd w:val="0"/>
              <w:snapToGrid w:val="0"/>
              <w:spacing w:line="360" w:lineRule="auto"/>
              <w:jc w:val="left"/>
              <w:rPr>
                <w:color w:val="auto"/>
                <w:highlight w:val="none"/>
                <w:lang w:val="zh-CN"/>
              </w:rPr>
            </w:pPr>
            <w:r>
              <w:rPr>
                <w:rFonts w:hint="eastAsia"/>
                <w:color w:val="auto"/>
                <w:highlight w:val="none"/>
                <w:lang w:val="zh-CN"/>
              </w:rPr>
              <w:sym w:font="Wingdings 2" w:char="0052"/>
            </w:r>
            <w:r>
              <w:rPr>
                <w:rFonts w:hint="eastAsia"/>
                <w:color w:val="auto"/>
                <w:highlight w:val="none"/>
                <w:lang w:val="zh-CN"/>
              </w:rPr>
              <w:t>要求，履约保证金的形式：采用保函、电汇或银行汇票形式</w:t>
            </w:r>
          </w:p>
          <w:p>
            <w:pPr>
              <w:widowControl/>
              <w:adjustRightInd w:val="0"/>
              <w:snapToGrid w:val="0"/>
              <w:spacing w:line="360" w:lineRule="auto"/>
              <w:jc w:val="left"/>
              <w:rPr>
                <w:color w:val="auto"/>
                <w:highlight w:val="none"/>
              </w:rPr>
            </w:pPr>
            <w:r>
              <w:rPr>
                <w:rFonts w:hint="eastAsia"/>
                <w:color w:val="auto"/>
                <w:highlight w:val="none"/>
                <w:lang w:val="zh-CN"/>
              </w:rPr>
              <w:t>履约保证金的金额：</w:t>
            </w:r>
            <w:r>
              <w:rPr>
                <w:rFonts w:hint="eastAsia"/>
                <w:color w:val="auto"/>
                <w:highlight w:val="none"/>
              </w:rPr>
              <w:t>10％签约合同价（以万元为单位采用去尾法取整，下同）</w:t>
            </w:r>
          </w:p>
          <w:p>
            <w:pPr>
              <w:widowControl/>
              <w:adjustRightInd w:val="0"/>
              <w:snapToGrid w:val="0"/>
              <w:spacing w:line="360" w:lineRule="auto"/>
              <w:jc w:val="left"/>
              <w:rPr>
                <w:color w:val="auto"/>
                <w:highlight w:val="none"/>
              </w:rPr>
            </w:pPr>
            <w:r>
              <w:rPr>
                <w:rFonts w:hint="eastAsia"/>
                <w:color w:val="auto"/>
                <w:highlight w:val="none"/>
                <w:lang w:val="zh-CN"/>
              </w:rPr>
              <w:t>采用银行保函时，出具保函的银行级别：</w:t>
            </w:r>
            <w:r>
              <w:rPr>
                <w:rFonts w:hint="eastAsia"/>
                <w:color w:val="auto"/>
                <w:highlight w:val="none"/>
              </w:rPr>
              <w:t>支行及以上级别的国有或股份制商业银行。</w:t>
            </w:r>
          </w:p>
          <w:p>
            <w:pPr>
              <w:widowControl/>
              <w:adjustRightInd w:val="0"/>
              <w:snapToGrid w:val="0"/>
              <w:spacing w:line="360" w:lineRule="auto"/>
              <w:jc w:val="left"/>
              <w:rPr>
                <w:rFonts w:cs="宋体"/>
                <w:color w:val="auto"/>
                <w:highlight w:val="none"/>
                <w:u w:val="single"/>
              </w:rPr>
            </w:pPr>
            <w:r>
              <w:rPr>
                <w:rFonts w:hint="eastAsia"/>
                <w:color w:val="auto"/>
                <w:highlight w:val="none"/>
                <w:lang w:val="zh-CN"/>
              </w:rPr>
              <w:t>□不要求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4"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9</w:t>
            </w:r>
          </w:p>
        </w:tc>
        <w:tc>
          <w:tcPr>
            <w:tcW w:w="938" w:type="pct"/>
            <w:vAlign w:val="center"/>
          </w:tcPr>
          <w:p>
            <w:pPr>
              <w:widowControl/>
              <w:adjustRightInd w:val="0"/>
              <w:snapToGrid w:val="0"/>
              <w:spacing w:line="360" w:lineRule="auto"/>
              <w:jc w:val="center"/>
              <w:rPr>
                <w:rFonts w:cs="宋体"/>
                <w:color w:val="auto"/>
                <w:kern w:val="0"/>
                <w:highlight w:val="none"/>
              </w:rPr>
            </w:pPr>
            <w:r>
              <w:rPr>
                <w:rFonts w:hint="eastAsia" w:cs="宋体"/>
                <w:color w:val="auto"/>
                <w:kern w:val="0"/>
                <w:highlight w:val="none"/>
              </w:rPr>
              <w:t>是否采用电子招标投标</w:t>
            </w:r>
          </w:p>
        </w:tc>
        <w:tc>
          <w:tcPr>
            <w:tcW w:w="3158" w:type="pct"/>
            <w:vAlign w:val="center"/>
          </w:tcPr>
          <w:p>
            <w:pPr>
              <w:widowControl/>
              <w:adjustRightInd w:val="0"/>
              <w:snapToGrid w:val="0"/>
              <w:spacing w:line="360" w:lineRule="auto"/>
              <w:jc w:val="left"/>
              <w:rPr>
                <w:color w:val="auto"/>
                <w:highlight w:val="none"/>
                <w:lang w:val="zh-CN"/>
              </w:rPr>
            </w:pPr>
            <w:r>
              <w:rPr>
                <w:rFonts w:hint="eastAsia"/>
                <w:color w:val="auto"/>
                <w:highlight w:val="none"/>
                <w:lang w:val="zh-CN"/>
              </w:rPr>
              <w:t>不采用</w:t>
            </w:r>
            <w:r>
              <w:rPr>
                <w:rFonts w:hint="eastAsia" w:cs="宋体"/>
                <w:color w:val="auto"/>
                <w:kern w:val="0"/>
                <w:highlight w:val="none"/>
              </w:rPr>
              <w:t>电子招标投标。请各投标人编制纸质投标文件。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3"/>
          </w:tcPr>
          <w:p>
            <w:pPr>
              <w:widowControl/>
              <w:adjustRightInd w:val="0"/>
              <w:snapToGrid w:val="0"/>
              <w:spacing w:line="360" w:lineRule="auto"/>
              <w:jc w:val="left"/>
              <w:rPr>
                <w:rFonts w:cs="宋体"/>
                <w:color w:val="auto"/>
                <w:kern w:val="0"/>
                <w:highlight w:val="none"/>
              </w:rPr>
            </w:pPr>
            <w:r>
              <w:rPr>
                <w:rFonts w:hint="eastAsia" w:cs="宋体"/>
                <w:color w:val="auto"/>
                <w:kern w:val="0"/>
                <w:highlight w:val="none"/>
              </w:rPr>
              <w:t>需要补充的其他内容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pct"/>
            <w:gridSpan w:val="2"/>
            <w:vAlign w:val="center"/>
          </w:tcPr>
          <w:p>
            <w:pPr>
              <w:widowControl/>
              <w:adjustRightInd w:val="0"/>
              <w:snapToGrid w:val="0"/>
              <w:spacing w:line="360" w:lineRule="auto"/>
              <w:jc w:val="center"/>
              <w:rPr>
                <w:rFonts w:cs="宋体"/>
                <w:bCs/>
                <w:color w:val="auto"/>
                <w:highlight w:val="none"/>
              </w:rPr>
            </w:pPr>
            <w:r>
              <w:rPr>
                <w:rFonts w:hint="eastAsia" w:cs="宋体"/>
                <w:bCs/>
                <w:color w:val="auto"/>
                <w:highlight w:val="none"/>
              </w:rPr>
              <w:t>10.1</w:t>
            </w:r>
          </w:p>
        </w:tc>
        <w:tc>
          <w:tcPr>
            <w:tcW w:w="3158" w:type="pct"/>
          </w:tcPr>
          <w:p>
            <w:pPr>
              <w:widowControl/>
              <w:adjustRightInd w:val="0"/>
              <w:snapToGrid w:val="0"/>
              <w:spacing w:line="360" w:lineRule="auto"/>
              <w:jc w:val="left"/>
              <w:rPr>
                <w:color w:val="auto"/>
                <w:highlight w:val="none"/>
                <w:lang w:val="zh-CN"/>
              </w:rPr>
            </w:pPr>
            <w:r>
              <w:rPr>
                <w:rFonts w:hint="eastAsia"/>
                <w:color w:val="auto"/>
                <w:highlight w:val="none"/>
                <w:lang w:val="zh-CN"/>
              </w:rPr>
              <w:t>投标和施工阶段有关主要人员变更的规定：</w:t>
            </w:r>
          </w:p>
          <w:p>
            <w:pPr>
              <w:widowControl/>
              <w:adjustRightInd w:val="0"/>
              <w:snapToGrid w:val="0"/>
              <w:spacing w:line="360" w:lineRule="auto"/>
              <w:jc w:val="left"/>
              <w:rPr>
                <w:color w:val="auto"/>
                <w:highlight w:val="none"/>
                <w:lang w:val="zh-CN"/>
              </w:rPr>
            </w:pPr>
            <w:r>
              <w:rPr>
                <w:rFonts w:hint="eastAsia"/>
                <w:color w:val="auto"/>
                <w:highlight w:val="none"/>
                <w:lang w:val="zh-CN"/>
              </w:rPr>
              <w:t>（1）投标阶段（投标截止时间至合同签订时间止）不得出现主要人员（项目经理）更换的情形；</w:t>
            </w:r>
          </w:p>
          <w:p>
            <w:pPr>
              <w:widowControl/>
              <w:adjustRightInd w:val="0"/>
              <w:snapToGrid w:val="0"/>
              <w:spacing w:line="360" w:lineRule="auto"/>
              <w:jc w:val="left"/>
              <w:rPr>
                <w:color w:val="auto"/>
                <w:highlight w:val="none"/>
                <w:lang w:val="zh-CN"/>
              </w:rPr>
            </w:pPr>
            <w:r>
              <w:rPr>
                <w:rFonts w:hint="eastAsia"/>
                <w:color w:val="auto"/>
                <w:highlight w:val="none"/>
                <w:lang w:val="zh-CN"/>
              </w:rPr>
              <w:t>（2）在合同实施过程中，如出现项目负责人更换的情况，发包人将根据合同条款规定对承包单位进行考核、处罚。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pct"/>
            <w:gridSpan w:val="2"/>
            <w:vAlign w:val="center"/>
          </w:tcPr>
          <w:p>
            <w:pPr>
              <w:widowControl/>
              <w:adjustRightInd w:val="0"/>
              <w:snapToGrid w:val="0"/>
              <w:spacing w:line="360" w:lineRule="auto"/>
              <w:jc w:val="center"/>
              <w:rPr>
                <w:color w:val="auto"/>
                <w:highlight w:val="none"/>
              </w:rPr>
            </w:pPr>
            <w:r>
              <w:rPr>
                <w:rFonts w:hint="eastAsia"/>
                <w:color w:val="auto"/>
                <w:highlight w:val="none"/>
              </w:rPr>
              <w:t>10.2</w:t>
            </w:r>
          </w:p>
        </w:tc>
        <w:tc>
          <w:tcPr>
            <w:tcW w:w="3158" w:type="pct"/>
          </w:tcPr>
          <w:p>
            <w:pPr>
              <w:widowControl/>
              <w:adjustRightInd w:val="0"/>
              <w:snapToGrid w:val="0"/>
              <w:spacing w:line="360" w:lineRule="auto"/>
              <w:jc w:val="left"/>
              <w:rPr>
                <w:color w:val="auto"/>
                <w:highlight w:val="none"/>
                <w:lang w:val="zh-CN"/>
              </w:rPr>
            </w:pPr>
            <w:r>
              <w:rPr>
                <w:rFonts w:hint="eastAsia"/>
                <w:color w:val="auto"/>
                <w:highlight w:val="none"/>
              </w:rPr>
              <w:t>投标人需配备不少于三台挖机、十五台运输车，根据招标人的需要随时安排挖运，确保不影响现场施工，现场投标人需充分考虑运输的不连续性造成的机械及人员窝工。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pct"/>
            <w:gridSpan w:val="2"/>
            <w:vAlign w:val="center"/>
          </w:tcPr>
          <w:p>
            <w:pPr>
              <w:widowControl/>
              <w:adjustRightInd w:val="0"/>
              <w:snapToGrid w:val="0"/>
              <w:spacing w:line="360" w:lineRule="auto"/>
              <w:jc w:val="center"/>
              <w:rPr>
                <w:color w:val="auto"/>
                <w:highlight w:val="none"/>
              </w:rPr>
            </w:pPr>
            <w:r>
              <w:rPr>
                <w:rFonts w:hint="eastAsia"/>
                <w:color w:val="auto"/>
                <w:highlight w:val="none"/>
              </w:rPr>
              <w:t>10.3</w:t>
            </w:r>
          </w:p>
        </w:tc>
        <w:tc>
          <w:tcPr>
            <w:tcW w:w="3158" w:type="pct"/>
          </w:tcPr>
          <w:p>
            <w:pPr>
              <w:widowControl/>
              <w:adjustRightInd w:val="0"/>
              <w:snapToGrid w:val="0"/>
              <w:spacing w:line="360" w:lineRule="auto"/>
              <w:jc w:val="left"/>
              <w:rPr>
                <w:color w:val="auto"/>
                <w:highlight w:val="none"/>
                <w:lang w:val="zh-CN"/>
              </w:rPr>
            </w:pPr>
            <w:r>
              <w:rPr>
                <w:rFonts w:hint="eastAsia"/>
                <w:color w:val="auto"/>
                <w:highlight w:val="none"/>
                <w:lang w:val="zh-CN"/>
              </w:rPr>
              <w:t>增加：</w:t>
            </w:r>
          </w:p>
          <w:p>
            <w:pPr>
              <w:widowControl/>
              <w:adjustRightInd w:val="0"/>
              <w:snapToGrid w:val="0"/>
              <w:spacing w:line="360" w:lineRule="auto"/>
              <w:jc w:val="left"/>
              <w:rPr>
                <w:color w:val="auto"/>
                <w:highlight w:val="none"/>
                <w:lang w:val="zh-CN"/>
              </w:rPr>
            </w:pPr>
            <w:r>
              <w:rPr>
                <w:rFonts w:hint="eastAsia"/>
                <w:color w:val="auto"/>
                <w:highlight w:val="none"/>
                <w:lang w:val="zh-CN"/>
              </w:rPr>
              <w:t>6.3.3评标委员会应当根据《中华人民共和国招标投标实施条例》第三十九条、第四十条、第四十一条的有关规定，对在评标过程中发现的投标人与投标人之间、投标人与招标人之间存在的串通投标的情形进行评审和认定；存在串通投标情形的，评标委员会应当予以否决其投标。投标人以他人名义投标、以行贿手段谋取中标，或者投标弄虚作假的，评标委员会应当否决其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pct"/>
            <w:gridSpan w:val="2"/>
            <w:vAlign w:val="center"/>
          </w:tcPr>
          <w:p>
            <w:pPr>
              <w:widowControl/>
              <w:adjustRightInd w:val="0"/>
              <w:snapToGrid w:val="0"/>
              <w:spacing w:line="360" w:lineRule="auto"/>
              <w:jc w:val="center"/>
              <w:rPr>
                <w:color w:val="auto"/>
                <w:highlight w:val="none"/>
              </w:rPr>
            </w:pPr>
            <w:r>
              <w:rPr>
                <w:rFonts w:hint="eastAsia"/>
                <w:color w:val="auto"/>
                <w:highlight w:val="none"/>
              </w:rPr>
              <w:t>10.5</w:t>
            </w:r>
          </w:p>
        </w:tc>
        <w:tc>
          <w:tcPr>
            <w:tcW w:w="3158" w:type="pct"/>
          </w:tcPr>
          <w:p>
            <w:pPr>
              <w:widowControl/>
              <w:adjustRightInd w:val="0"/>
              <w:snapToGrid w:val="0"/>
              <w:spacing w:line="360" w:lineRule="auto"/>
              <w:jc w:val="left"/>
              <w:rPr>
                <w:color w:val="auto"/>
                <w:highlight w:val="none"/>
                <w:lang w:val="zh-CN"/>
              </w:rPr>
            </w:pPr>
            <w:r>
              <w:rPr>
                <w:rFonts w:hint="eastAsia"/>
                <w:color w:val="auto"/>
                <w:highlight w:val="none"/>
                <w:lang w:val="zh-CN"/>
              </w:rPr>
              <w:t>承包人按照《劳动法》、《保障农民工工资支付条例》国务院724号令、</w:t>
            </w:r>
            <w:r>
              <w:rPr>
                <w:rFonts w:hint="eastAsia"/>
                <w:color w:val="auto"/>
                <w:highlight w:val="none"/>
              </w:rPr>
              <w:t>关于印发《江苏省工程建设领域农民工工资支付管理办法》</w:t>
            </w:r>
            <w:r>
              <w:rPr>
                <w:rFonts w:hint="eastAsia"/>
                <w:color w:val="auto"/>
                <w:highlight w:val="none"/>
                <w:lang w:val="zh-CN"/>
              </w:rPr>
              <w:t>、《省交通运输厅关于交通工程建设领域保障农民工工资支付的意见》苏交规〔2021〕2号、通交建管【2018】2号、通交建【2018】5号、通交建【2018】6号及相关规定使用和管理农民工，农民工工资需设立专用账户并专款专用，设置农民工维权信息公示牌，实行按月足额支付工资制度、实名制管理制度、农民工工资专用账户管理制度。具体如下：</w:t>
            </w:r>
          </w:p>
          <w:p>
            <w:pPr>
              <w:widowControl/>
              <w:adjustRightInd w:val="0"/>
              <w:snapToGrid w:val="0"/>
              <w:spacing w:line="360" w:lineRule="auto"/>
              <w:jc w:val="left"/>
              <w:rPr>
                <w:color w:val="auto"/>
                <w:highlight w:val="none"/>
                <w:lang w:val="zh-CN"/>
              </w:rPr>
            </w:pPr>
            <w:r>
              <w:rPr>
                <w:rFonts w:hint="eastAsia"/>
                <w:color w:val="auto"/>
                <w:highlight w:val="none"/>
                <w:lang w:val="zh-CN"/>
              </w:rPr>
              <w:t>1）农民工工资按月足额支付制度。要确保本项目参建的所有农民工通过银行卡按月足额发放，杜绝当夜只发最低工资标准、年终结算总额的做法；</w:t>
            </w:r>
          </w:p>
          <w:p>
            <w:pPr>
              <w:widowControl/>
              <w:adjustRightInd w:val="0"/>
              <w:snapToGrid w:val="0"/>
              <w:spacing w:line="360" w:lineRule="auto"/>
              <w:jc w:val="left"/>
              <w:rPr>
                <w:color w:val="auto"/>
                <w:highlight w:val="none"/>
                <w:lang w:val="zh-CN"/>
              </w:rPr>
            </w:pPr>
            <w:r>
              <w:rPr>
                <w:rFonts w:hint="eastAsia"/>
                <w:color w:val="auto"/>
                <w:highlight w:val="none"/>
                <w:lang w:val="zh-CN"/>
              </w:rPr>
              <w:t>2）农民工实名制管理制度。承包人要确保真实全面反映本项目工地现场所有农民工的出勤情况，要通过实名制考勤设备进行进出现场管理，并做好记录；</w:t>
            </w:r>
          </w:p>
          <w:p>
            <w:pPr>
              <w:widowControl/>
              <w:adjustRightInd w:val="0"/>
              <w:snapToGrid w:val="0"/>
              <w:spacing w:line="360" w:lineRule="auto"/>
              <w:jc w:val="left"/>
              <w:rPr>
                <w:color w:val="auto"/>
                <w:highlight w:val="none"/>
                <w:lang w:val="zh-CN"/>
              </w:rPr>
            </w:pPr>
            <w:r>
              <w:rPr>
                <w:rFonts w:hint="eastAsia"/>
                <w:color w:val="auto"/>
                <w:highlight w:val="none"/>
                <w:lang w:val="zh-CN"/>
              </w:rPr>
              <w:t>3）农民工工资专用账户管理制度。承包人要确保专用账户人工费用拨付周期不得超过1个月。采用总包代发方式的，要制定农民工工资代发制度，并提交发包人备案检查，总包要落实代发制定的执行到位情况。</w:t>
            </w:r>
          </w:p>
          <w:p>
            <w:pPr>
              <w:widowControl/>
              <w:adjustRightInd w:val="0"/>
              <w:snapToGrid w:val="0"/>
              <w:spacing w:line="360" w:lineRule="auto"/>
              <w:jc w:val="left"/>
              <w:rPr>
                <w:color w:val="auto"/>
                <w:highlight w:val="none"/>
                <w:lang w:val="zh-CN"/>
              </w:rPr>
            </w:pPr>
            <w:r>
              <w:rPr>
                <w:rFonts w:hint="eastAsia"/>
                <w:color w:val="auto"/>
                <w:highlight w:val="none"/>
                <w:lang w:val="zh-CN"/>
              </w:rPr>
              <w:t>承包人在合同执行期间应该严格执行上述农民工工资支付的规定，切实做好农民工工资保障工作。承包人在合同执行期间由发包人扣留工程计量款的1%作为农民工工资保障金（包含在按合同计量支付进度款后剩余的余款中）</w:t>
            </w:r>
            <w:r>
              <w:rPr>
                <w:rFonts w:hint="eastAsia"/>
                <w:color w:val="auto"/>
                <w:highlight w:val="none"/>
              </w:rPr>
              <w:t>(注：2年内在全国交通工程建设领域未发生拖欠农民工工资行为且当年在江苏省交通建设市场信用等级为AA级的企业，或列入红名单的从业单位，可以免缴50%的农民工工资保证金。5年内在全国交通工程建设领域未发生拖欠农民工工资行为且当年在江苏省交通建设市场信用等级为AA级的企业，可以免缴保证金。当年在江苏省交通建设市场信用等级为B级以下的企业，按照应缴额上限的二倍缴存保证金)</w:t>
            </w:r>
            <w:r>
              <w:rPr>
                <w:rFonts w:hint="eastAsia"/>
                <w:color w:val="auto"/>
                <w:highlight w:val="none"/>
                <w:lang w:val="zh-CN"/>
              </w:rPr>
              <w:t>，如果发生违反规定拖欠或克扣民工工资行为，造成民工上访，发包人有权按照实名制管理制度等相关规定，直接在未支付的计量款里支付拖欠的农民工工资，且承包人必须接受发包人暂停承包人1年期间参加发包人招标项目投标资格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8" w:hRule="atLeast"/>
        </w:trPr>
        <w:tc>
          <w:tcPr>
            <w:tcW w:w="1842" w:type="pct"/>
            <w:gridSpan w:val="2"/>
            <w:vAlign w:val="center"/>
          </w:tcPr>
          <w:p>
            <w:pPr>
              <w:widowControl/>
              <w:adjustRightInd w:val="0"/>
              <w:snapToGrid w:val="0"/>
              <w:spacing w:line="360" w:lineRule="auto"/>
              <w:jc w:val="center"/>
              <w:rPr>
                <w:color w:val="auto"/>
                <w:highlight w:val="none"/>
              </w:rPr>
            </w:pPr>
            <w:r>
              <w:rPr>
                <w:rFonts w:hint="eastAsia"/>
                <w:color w:val="auto"/>
                <w:highlight w:val="none"/>
              </w:rPr>
              <w:t>10.6</w:t>
            </w:r>
          </w:p>
        </w:tc>
        <w:tc>
          <w:tcPr>
            <w:tcW w:w="3158" w:type="pct"/>
          </w:tcPr>
          <w:p>
            <w:pPr>
              <w:rPr>
                <w:b/>
                <w:color w:val="auto"/>
                <w:highlight w:val="none"/>
              </w:rPr>
            </w:pPr>
            <w:r>
              <w:rPr>
                <w:rFonts w:hint="eastAsia"/>
                <w:b/>
                <w:color w:val="auto"/>
                <w:highlight w:val="none"/>
              </w:rPr>
              <w:t>项目经理有无在岗项目情况，按照下列原则认定：</w:t>
            </w:r>
          </w:p>
          <w:p>
            <w:pPr>
              <w:rPr>
                <w:color w:val="auto"/>
                <w:highlight w:val="none"/>
              </w:rPr>
            </w:pPr>
            <w:r>
              <w:rPr>
                <w:rFonts w:hint="eastAsia"/>
                <w:color w:val="auto"/>
                <w:highlight w:val="none"/>
              </w:rPr>
              <w:t>（1）在招标项目投标截止时间之前，投标人拟投入的主要人员已在其他项目中作为主要人员任职，包括在已发出中标通知书或者签定合约的其他项目中作为主要人员的，应当视为有在岗项目；</w:t>
            </w:r>
          </w:p>
          <w:p>
            <w:pPr>
              <w:rPr>
                <w:color w:val="auto"/>
                <w:highlight w:val="none"/>
              </w:rPr>
            </w:pPr>
            <w:r>
              <w:rPr>
                <w:rFonts w:hint="eastAsia"/>
                <w:color w:val="auto"/>
                <w:highlight w:val="none"/>
              </w:rPr>
              <w:t>（2）未在其他项目上作为主要人员任职，或虽在其他项目上作为主要人员任职、但在投标文件中提供了拟投入本项目中的主要人员在中标后可以从其他项目撤离的书面承诺，视为无在岗项目；</w:t>
            </w:r>
          </w:p>
          <w:p>
            <w:pPr>
              <w:rPr>
                <w:color w:val="auto"/>
                <w:highlight w:val="none"/>
              </w:rPr>
            </w:pPr>
            <w:r>
              <w:rPr>
                <w:rFonts w:hint="eastAsia"/>
                <w:color w:val="auto"/>
                <w:highlight w:val="none"/>
              </w:rPr>
              <w:t>（3）投标人拟投入的主要人员在其他项目上作为主要人员任职，虽然项目尚未交工但符合下列情形之一、并在投标文件中提供一旦中标可以从其他项目上撤离的书面承诺，视为无在岗项目：</w:t>
            </w:r>
          </w:p>
          <w:p>
            <w:pPr>
              <w:ind w:firstLine="210" w:firstLineChars="100"/>
              <w:rPr>
                <w:color w:val="auto"/>
                <w:highlight w:val="none"/>
              </w:rPr>
            </w:pPr>
            <w:r>
              <w:rPr>
                <w:rFonts w:hint="eastAsia"/>
                <w:color w:val="auto"/>
                <w:highlight w:val="none"/>
              </w:rPr>
              <w:t>1）工程已经完工，经项目质量监督机构核验合格，主要人员基本完成职责，非投标人原因尚未进行交工验收的；</w:t>
            </w:r>
          </w:p>
          <w:p>
            <w:pPr>
              <w:ind w:firstLine="210" w:firstLineChars="100"/>
              <w:rPr>
                <w:color w:val="auto"/>
                <w:highlight w:val="none"/>
              </w:rPr>
            </w:pPr>
            <w:r>
              <w:rPr>
                <w:rFonts w:hint="eastAsia"/>
                <w:color w:val="auto"/>
                <w:highlight w:val="none"/>
              </w:rPr>
              <w:t>2）工程中标后半年内非中标人原因无法开工或停工半年以上无法复工等情况。</w:t>
            </w:r>
          </w:p>
          <w:p>
            <w:pPr>
              <w:rPr>
                <w:color w:val="auto"/>
                <w:highlight w:val="none"/>
                <w:lang w:val="zh-CN"/>
              </w:rPr>
            </w:pPr>
            <w:r>
              <w:rPr>
                <w:rFonts w:hint="eastAsia"/>
                <w:b/>
                <w:color w:val="auto"/>
                <w:highlight w:val="none"/>
                <w:u w:val="single"/>
              </w:rPr>
              <w:t>（4）上述（2）和（3）的情况投标人还需另行提供由该项目发包人出具的、承诺其能够从该项目撤离的书面证明材料原件，并装订在投标文件正本中，否则视为有在岗项目。</w:t>
            </w:r>
          </w:p>
        </w:tc>
      </w:tr>
    </w:tbl>
    <w:p>
      <w:pPr>
        <w:pStyle w:val="197"/>
        <w:adjustRightInd w:val="0"/>
        <w:snapToGrid w:val="0"/>
        <w:spacing w:line="360" w:lineRule="auto"/>
        <w:ind w:firstLine="0" w:firstLineChars="0"/>
        <w:rPr>
          <w:rFonts w:cs="宋体"/>
          <w:color w:val="auto"/>
          <w:sz w:val="28"/>
          <w:szCs w:val="28"/>
          <w:highlight w:val="none"/>
        </w:rPr>
      </w:pPr>
    </w:p>
    <w:p>
      <w:pPr>
        <w:pStyle w:val="197"/>
        <w:numPr>
          <w:ilvl w:val="0"/>
          <w:numId w:val="2"/>
        </w:numPr>
        <w:adjustRightInd w:val="0"/>
        <w:snapToGrid w:val="0"/>
        <w:spacing w:line="360" w:lineRule="auto"/>
        <w:ind w:firstLineChars="0"/>
        <w:rPr>
          <w:rFonts w:cs="宋体"/>
          <w:color w:val="auto"/>
          <w:sz w:val="28"/>
          <w:szCs w:val="28"/>
          <w:highlight w:val="none"/>
        </w:rPr>
      </w:pPr>
      <w:r>
        <w:rPr>
          <w:rFonts w:hint="eastAsia" w:cs="宋体"/>
          <w:color w:val="auto"/>
          <w:spacing w:val="1"/>
          <w:sz w:val="24"/>
          <w:szCs w:val="24"/>
          <w:highlight w:val="none"/>
        </w:rPr>
        <w:br w:type="page"/>
      </w:r>
      <w:bookmarkEnd w:id="19"/>
      <w:bookmarkEnd w:id="20"/>
      <w:bookmarkEnd w:id="21"/>
      <w:bookmarkEnd w:id="22"/>
      <w:bookmarkEnd w:id="23"/>
      <w:bookmarkEnd w:id="24"/>
      <w:bookmarkEnd w:id="25"/>
      <w:bookmarkEnd w:id="26"/>
      <w:bookmarkEnd w:id="27"/>
    </w:p>
    <w:p>
      <w:pPr>
        <w:pStyle w:val="197"/>
        <w:adjustRightInd w:val="0"/>
        <w:snapToGrid w:val="0"/>
        <w:spacing w:line="360" w:lineRule="auto"/>
        <w:ind w:firstLine="0" w:firstLineChars="0"/>
        <w:rPr>
          <w:rFonts w:cs="宋体"/>
          <w:color w:val="auto"/>
          <w:sz w:val="28"/>
          <w:szCs w:val="28"/>
          <w:highlight w:val="none"/>
        </w:rPr>
      </w:pPr>
      <w:r>
        <w:rPr>
          <w:rFonts w:hint="eastAsia" w:cs="宋体"/>
          <w:color w:val="auto"/>
          <w:spacing w:val="1"/>
          <w:sz w:val="24"/>
          <w:szCs w:val="24"/>
          <w:highlight w:val="none"/>
        </w:rPr>
        <w:t>1.</w:t>
      </w:r>
      <w:r>
        <w:rPr>
          <w:rFonts w:hint="eastAsia" w:cs="宋体"/>
          <w:color w:val="auto"/>
          <w:sz w:val="28"/>
          <w:szCs w:val="28"/>
          <w:highlight w:val="none"/>
        </w:rPr>
        <w:t>总则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 项目概况</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1.1.1 根据《中华人民共和国招标投标法》《中华人民共和国招标投标法实施条例》《公路工程建设项目招标投标管理办法》等有关法律、法规和规章的规定，本招标项目已具备招标条件，现对本标段施工进行招标。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1.1.2本招标项目招标人：见投标人须知前附表。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1.1.3本标段招标代理机构：见投标人须知前附表。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1.1.4本招标项目名称：见投标人须知前附表。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1.1.5本标段建设地点：见投标人须知前附表。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1.2 招标项目的资金来源和落实情况</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1.2.1 资金来源及比例：见投标人须知前附表。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1.2.2 资金落实情况：见投标人须知前附表。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1.3 招标范围、计划工期、质量要求和安全目标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1.3.1 招标范围：见投标人须知前附表。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1.3.2</w:t>
      </w:r>
      <w:r>
        <w:rPr>
          <w:rFonts w:hint="eastAsia" w:ascii="宋体" w:hAnsi="宋体" w:cs="宋体"/>
          <w:color w:val="auto"/>
          <w:sz w:val="28"/>
          <w:szCs w:val="28"/>
          <w:highlight w:val="none"/>
        </w:rPr>
        <w:t>本标段的计划工期：见投标人须知前附表。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1.3.3</w:t>
      </w:r>
      <w:r>
        <w:rPr>
          <w:rFonts w:hint="eastAsia" w:ascii="宋体" w:hAnsi="宋体" w:cs="宋体"/>
          <w:color w:val="auto"/>
          <w:sz w:val="28"/>
          <w:szCs w:val="28"/>
          <w:highlight w:val="none"/>
        </w:rPr>
        <w:t>本标段的质量要求：见投标人须知前附表。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1.3.4 本标段的安全目标：见投标人须知前附表。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1.4 投标人资格要求（适用于未进行资格预审的）</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1.4.1 投标人应具备承担本标段施工的资质条件、能力和信誉。</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（1）资质要求：见投标人须知前附表；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2</w:t>
      </w:r>
      <w:r>
        <w:rPr>
          <w:rFonts w:hint="eastAsia" w:cs="宋体"/>
          <w:color w:val="auto"/>
          <w:sz w:val="28"/>
          <w:szCs w:val="28"/>
          <w:highlight w:val="none"/>
        </w:rPr>
        <w:t>）业绩要求：见投标人须知前附表；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3</w:t>
      </w:r>
      <w:r>
        <w:rPr>
          <w:rFonts w:hint="eastAsia" w:cs="宋体"/>
          <w:color w:val="auto"/>
          <w:sz w:val="28"/>
          <w:szCs w:val="28"/>
          <w:highlight w:val="none"/>
        </w:rPr>
        <w:t>）信誉要求：见投标人须知前附表；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4</w:t>
      </w:r>
      <w:r>
        <w:rPr>
          <w:rFonts w:hint="eastAsia" w:cs="宋体"/>
          <w:color w:val="auto"/>
          <w:sz w:val="28"/>
          <w:szCs w:val="28"/>
          <w:highlight w:val="none"/>
        </w:rPr>
        <w:t>）项目经理资格：见投标人须知前附表；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5</w:t>
      </w:r>
      <w:r>
        <w:rPr>
          <w:rFonts w:hint="eastAsia" w:cs="宋体"/>
          <w:color w:val="auto"/>
          <w:sz w:val="28"/>
          <w:szCs w:val="28"/>
          <w:highlight w:val="none"/>
        </w:rPr>
        <w:t>）其他要求：见投标人须知前附表。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需要提交的相关证明材料见本章第 3.5 款的规定。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1.4.2 投标人须知前附表规定接受联合体投标的，联合体除应符合本章第 1.4.1项和投标人须知前附表的要求外，还应遵守以下规定：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（1）联合体各方应按招标文件提供的格式签订联合体协议书，明确联合体牵头人和各方权利义务，并承诺就中标项目向招标人承担连带责任；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（2）由同一专业的单位组成的联合体，按照资质等级较低的单位确定资质等级；</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（3）联合体各方不得再以自己名义单独或参加其他联合体在同一标段中投标；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（5）尽管委任了联合体牵头人，但联合体各成员在投标、签订合同与履行合同过程中，仍负有连带的和各自的法律责任。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1.4.3 投标人（包括联合体各成员）不得与本标段相关单位存在下列关联关系：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（1）为招标人不具有独立法人资格的附属机构（单位）；</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（2）与招标人存在利害关系且可能影响招标公正性；</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（3）与本标段的其他投标人同为一个单位负责人；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（4）与本标段的其他投标人存在控股、管理关系；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（5）为本标段前期准备提供设计或咨询服务的法人或其任何附属机构（单位）；</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（6）为本标段的监理人；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（7）为本标段的代建人；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（8）为本标段的招标代理机构；</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（9）与本标段的监理人或代建人或招标代理机构同为一个法定代表人；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（10）与本标段的监理人或代建人或招标代理机构存在控股或参股关系；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（11）法律法规或投标人须知前附表规定的其他情形。</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1.4.4 投标人（包括联合体各成员）不得存在下列不良状况或不良信用记录：</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（1）被省级及以上交通运输主管部门取消招标项目所在地的投标资格且处于有效期内；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（2）被责令停业，暂扣或吊销执照，或吊销资质证书；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（3）进入清算程序，或被宣告破产，或其他丧失履约能力的情形；</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（4）在国家企业信用信息公示系统（http://www.gsxt.gov.cn/）中被列入严重违法失信企业名单；</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（5）在“信用中国”网站（http://www.creditchina.gov.cn/）中被列入失信被执行人名单；</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6</w:t>
      </w:r>
      <w:r>
        <w:rPr>
          <w:rFonts w:hint="eastAsia" w:cs="宋体"/>
          <w:color w:val="auto"/>
          <w:sz w:val="28"/>
          <w:szCs w:val="28"/>
          <w:highlight w:val="none"/>
        </w:rPr>
        <w:t>）法律法规或投标人须知前附表规定的其他情形。</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1.5 费用承担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1.6 保密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参与招标投标活动的各方应对招标文件和投标文件中的商业和技术等秘密保密，否则应承担相应的法律责任。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1.7 语言文字</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招标投标文件使用的语言文字为中文。专用术语使用外文的，应附有中文注释。</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1.8 计量单位</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 踏勘现场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1.9.1 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1.9.2</w:t>
      </w:r>
      <w:r>
        <w:rPr>
          <w:rFonts w:hint="eastAsia" w:ascii="宋体" w:hAnsi="宋体" w:cs="宋体"/>
          <w:color w:val="auto"/>
          <w:sz w:val="28"/>
          <w:szCs w:val="28"/>
          <w:highlight w:val="none"/>
        </w:rPr>
        <w:t>投标人踏勘现场发生的费用自理。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1.9.3</w:t>
      </w:r>
      <w:r>
        <w:rPr>
          <w:rFonts w:hint="eastAsia" w:ascii="宋体" w:hAnsi="宋体" w:cs="宋体"/>
          <w:color w:val="auto"/>
          <w:sz w:val="28"/>
          <w:szCs w:val="28"/>
          <w:highlight w:val="none"/>
        </w:rPr>
        <w:t>除招标人的原因外，投标人自行负责在踏勘现场中所发生的人员伤亡和财产损失。</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1.9.4</w:t>
      </w:r>
      <w:r>
        <w:rPr>
          <w:rFonts w:hint="eastAsia" w:ascii="宋体" w:hAnsi="宋体" w:cs="宋体"/>
          <w:color w:val="auto"/>
          <w:sz w:val="28"/>
          <w:szCs w:val="28"/>
          <w:highlight w:val="none"/>
        </w:rPr>
        <w:t>招标人在踏勘现场中介绍的工程场地和相关的周边环境情况，供投标人在编制投标文件时参考，招标人不对投标人据此作出的判断和决策负责。</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1.9.5 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1.10 投标预备会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1.10.1 第一章“招标公告”或“投标邀请书”规定召开投标预备会的，招标人按规定的时间和地点召开投标预备会，澄清投标人提出的问题。</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1.10.2 投标人应按投标人须知前附表规定的时间和形式将提出的问题送达招标人，以便招标人在会议期间澄清。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1.10.3 投标预备会后，招标人将对投标人所提问题的澄清，以本章第 2.2 款规定的形式通知所有购买招标文件的投标人。该澄清内容为招标文件的组成部分。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1.11 分包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1.11.1 投标人拟在中标后将中标项目的部分非主体、非关键性工作进行分包的，应符合以下规定：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（1）分包内容要求：允许分包的工程范围仅限于非关键性工程或适合专业化队伍施工的专项工程。招标人允许分包或不允许分包的专项工程（如有）应在投标人须知前附表中载明。</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（2）接受分包的第三人资格要求：分包人的资格能力应与其分包工程的标准和规模相适应，且具备投标人须知前附表中规定的资格条件。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（3）其他要求：投标人如有分包计划，应按第九章“投标文件格式”的要求填写“拟分包项目情况表”，明确拟分包的工程及规模，且投标人中标后的分包应满足合同条款第 4.3 款的相关要求。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1.11.2 中标人不得向他人转让中标项目，接受分包的人不得再次分包。中标人应就分包项目向招标人负责，接受分包的人就分包项目承担连带责任。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 响应和偏差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1.12.1 投标文件偏离招标文件某些要求，视为投标文件存在偏差。偏差包括重大偏差和细微偏差。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1.12.2 投标文件应对招标文件的实质性要求和条件作出满足性或更有利于招标人的响应，否则，视为投标文件存在重大偏差，投标人的投标将被否决。</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投标文件存在第三章“评标办法”中所列任一否决投标情形的，均属于存在重大偏差。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1.12.3 投标文件中的下列偏差为细微偏差：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在按照第三章“评标办法”的规定对投标价进行算术性错误修正及其他错误修正后，最终投标报价未超过最高投标限价（如有）的情况下，出现第三章“评标办法”规定的算术性错误和投标报价的其他错误；</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（2）施工组织设计（含关键工程技术方案）和项目管理机构不够完善；</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1.12.4 评标委员会对投标文件中的细微偏差按如下规定处理：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（1）对于本章第 1.12.3 项（1）目所述的细微偏差，按照第三章“评标办法”的规定予以修正并要求投标人进行澄清；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（2）对于本章第 1.12.3 项（2）目所述的细微偏差，如果采用技术评分最低标价法或经评审的最低投标价法评标，应要求投标人对细微偏差进行澄清，只有投标人的澄清文件被评标委员会接受，投标人才能参加评标价的最终评比。如果采用技术评分最低标价法或综合评分法评标，可在相关评分因素的评分中酌情扣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（3）对于本章第 1.12.3 项（3）目所述的细微偏差，可要求投标人对细微偏差进行澄清。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1.12.5 投标人应根据招标文件的要求提供施工组织设计等内容以对招标文件作出响应。</w:t>
      </w:r>
    </w:p>
    <w:p>
      <w:pPr>
        <w:pStyle w:val="197"/>
        <w:numPr>
          <w:ilvl w:val="0"/>
          <w:numId w:val="2"/>
        </w:numPr>
        <w:adjustRightInd w:val="0"/>
        <w:snapToGrid w:val="0"/>
        <w:spacing w:line="360" w:lineRule="auto"/>
        <w:ind w:firstLineChars="0"/>
        <w:rPr>
          <w:rFonts w:cs="宋体"/>
          <w:color w:val="auto"/>
          <w:sz w:val="28"/>
          <w:szCs w:val="28"/>
          <w:highlight w:val="none"/>
        </w:rPr>
      </w:pPr>
      <w:r>
        <w:rPr>
          <w:rFonts w:hint="eastAsia" w:cs="宋体"/>
          <w:color w:val="auto"/>
          <w:sz w:val="28"/>
          <w:szCs w:val="28"/>
          <w:highlight w:val="none"/>
        </w:rPr>
        <w:t>招标文件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2.1 招标文件的组成</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本招标文件包括：</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（1）招标公告（或投标邀请书）；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（2）投标人须知；</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（3）评标办法；</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（4）合同条款及格式；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（5）工程量清单（无）；</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（6）技术规范（无）；</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（7）工程量清单计量规则；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（8）投标文件格式；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（9）投标人须知前附表规定的其他资料。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根据本章第 1.10 款、第 2.2 款和第 2.3 款对招标文件所作的澄清、修改，构成招标文件的组成部分。当招标文件、招标文件的澄清或修改等在同一内容的表述上不一致时，以最后发出的文件为准。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2.2 招标文件的澄清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2.2.2 招标文件的澄清以投标人须知前附表规定的形式发给所有购买招标文件的投标人，但不指明澄清问题的来源。澄清发出的时间距本章第 4.2.1 项规定的投标截止时间不足15日，且澄清内容可能影响投标文件编制的，将相应延长投标截止时间。</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2.2.3投标人应注意及时浏览网上发出的澄清，因投标人自身原因未及时获知澄清内容而导致的任何后果将由投标人自行承担。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2.2.4 除非招标人认为确有必要答复，否则，招标人有权拒绝回复投标人在本章第 2.2.1 项规定的时间后提出的任何澄清要求。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2.3 招标文件的修改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2.3.1 招标人以投标人须知前附表规定的形式修改招标文件，并通知所有已购买招标文件的投标人。修改招标文件的时间距本章第 4.2.1 项规定的投标截止时间不足15 日，且修改内容可能影响投标文件编制的，将相应延长投标截止时间。</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2.3.2投标人应注意及时浏览网上发出的修改，因投标人自身原因未及时获知修改内容而导致的任何后果将由投标人自行承担。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2.4 招标文件的异议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投标人或其他利害关系人对招标文件有异议的，应在投标截止时间 10 日前提出。招标人将在收到异议之日起 3 日内作出答复；作出答复前，将暂停招标投标活动。提出异议与作出答复均应通过“电子交易平台”在“投标人异议（含澄清）”菜单完成。</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3投标文件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3.1 投标文件的组成</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根据投标人须知前附表规定的不同形式，投标文件的组成应满足相应条款要求。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采用双信封形式，第 3.1.1 项采用以下条款：</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3.1.1 投标文件应包括下列内容：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第一个信封（商务及技术文件）：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（1）投标函及投标函附录</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（2）授权委托书或法定代表人身份证明</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（3）投标保证金</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4</w:t>
      </w:r>
      <w:r>
        <w:rPr>
          <w:rFonts w:hint="eastAsia" w:cs="宋体"/>
          <w:color w:val="auto"/>
          <w:sz w:val="28"/>
          <w:szCs w:val="28"/>
          <w:highlight w:val="none"/>
        </w:rPr>
        <w:t>）施工组织设计</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5</w:t>
      </w:r>
      <w:r>
        <w:rPr>
          <w:rFonts w:hint="eastAsia" w:cs="宋体"/>
          <w:color w:val="auto"/>
          <w:sz w:val="28"/>
          <w:szCs w:val="28"/>
          <w:highlight w:val="none"/>
        </w:rPr>
        <w:t>）项目管理机构</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6</w:t>
      </w:r>
      <w:r>
        <w:rPr>
          <w:rFonts w:hint="eastAsia" w:cs="宋体"/>
          <w:color w:val="auto"/>
          <w:sz w:val="28"/>
          <w:szCs w:val="28"/>
          <w:highlight w:val="none"/>
        </w:rPr>
        <w:t>）拟分包项目情况表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7</w:t>
      </w:r>
      <w:r>
        <w:rPr>
          <w:rFonts w:hint="eastAsia" w:cs="宋体"/>
          <w:color w:val="auto"/>
          <w:sz w:val="28"/>
          <w:szCs w:val="28"/>
          <w:highlight w:val="none"/>
        </w:rPr>
        <w:t>）资格审查资料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8</w:t>
      </w:r>
      <w:r>
        <w:rPr>
          <w:rFonts w:hint="eastAsia" w:cs="宋体"/>
          <w:color w:val="auto"/>
          <w:sz w:val="28"/>
          <w:szCs w:val="28"/>
          <w:highlight w:val="none"/>
        </w:rPr>
        <w:t>）不拖欠民工工资的承诺书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9</w:t>
      </w:r>
      <w:r>
        <w:rPr>
          <w:rFonts w:hint="eastAsia" w:cs="宋体"/>
          <w:color w:val="auto"/>
          <w:sz w:val="28"/>
          <w:szCs w:val="28"/>
          <w:highlight w:val="none"/>
        </w:rPr>
        <w:t>）</w:t>
      </w:r>
      <w:r>
        <w:rPr>
          <w:rFonts w:cs="宋体"/>
          <w:color w:val="auto"/>
          <w:sz w:val="28"/>
          <w:szCs w:val="28"/>
          <w:highlight w:val="none"/>
        </w:rPr>
        <w:t>同意代偿债务承诺函</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10</w:t>
      </w:r>
      <w:r>
        <w:rPr>
          <w:rFonts w:hint="eastAsia" w:cs="宋体"/>
          <w:color w:val="auto"/>
          <w:sz w:val="28"/>
          <w:szCs w:val="28"/>
          <w:highlight w:val="none"/>
        </w:rPr>
        <w:t>）确保工程质量不非法分包不违法转包承诺书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w:t>
      </w:r>
      <w:r>
        <w:rPr>
          <w:rFonts w:cs="宋体"/>
          <w:color w:val="auto"/>
          <w:sz w:val="28"/>
          <w:szCs w:val="28"/>
          <w:highlight w:val="none"/>
        </w:rPr>
        <w:t>1</w:t>
      </w:r>
      <w:r>
        <w:rPr>
          <w:rFonts w:hint="eastAsia" w:cs="宋体"/>
          <w:color w:val="auto"/>
          <w:sz w:val="28"/>
          <w:szCs w:val="28"/>
          <w:highlight w:val="none"/>
        </w:rPr>
        <w:t>）拟投入项目经理任职承诺函</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w:t>
      </w:r>
      <w:r>
        <w:rPr>
          <w:rFonts w:cs="宋体"/>
          <w:color w:val="auto"/>
          <w:sz w:val="28"/>
          <w:szCs w:val="28"/>
          <w:highlight w:val="none"/>
        </w:rPr>
        <w:t>2</w:t>
      </w:r>
      <w:r>
        <w:rPr>
          <w:rFonts w:hint="eastAsia" w:cs="宋体"/>
          <w:color w:val="auto"/>
          <w:sz w:val="28"/>
          <w:szCs w:val="28"/>
          <w:highlight w:val="none"/>
        </w:rPr>
        <w:t>）资料真实性承诺书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w:t>
      </w:r>
      <w:r>
        <w:rPr>
          <w:rFonts w:cs="宋体"/>
          <w:color w:val="auto"/>
          <w:sz w:val="28"/>
          <w:szCs w:val="28"/>
          <w:highlight w:val="none"/>
        </w:rPr>
        <w:t>3</w:t>
      </w:r>
      <w:r>
        <w:rPr>
          <w:rFonts w:hint="eastAsia" w:cs="宋体"/>
          <w:color w:val="auto"/>
          <w:sz w:val="28"/>
          <w:szCs w:val="28"/>
          <w:highlight w:val="none"/>
        </w:rPr>
        <w:t>）江苏省公路水运建设项目投标人信用承诺书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w:t>
      </w:r>
      <w:r>
        <w:rPr>
          <w:rFonts w:cs="宋体"/>
          <w:color w:val="auto"/>
          <w:sz w:val="28"/>
          <w:szCs w:val="28"/>
          <w:highlight w:val="none"/>
        </w:rPr>
        <w:t>4</w:t>
      </w:r>
      <w:r>
        <w:rPr>
          <w:rFonts w:hint="eastAsia" w:cs="宋体"/>
          <w:color w:val="auto"/>
          <w:sz w:val="28"/>
          <w:szCs w:val="28"/>
          <w:highlight w:val="none"/>
        </w:rPr>
        <w:t>）江苏公路水运建设市场主要从业人员信用承诺书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w:t>
      </w:r>
      <w:r>
        <w:rPr>
          <w:rFonts w:cs="宋体"/>
          <w:color w:val="auto"/>
          <w:sz w:val="28"/>
          <w:szCs w:val="28"/>
          <w:highlight w:val="none"/>
        </w:rPr>
        <w:t>5</w:t>
      </w:r>
      <w:r>
        <w:rPr>
          <w:rFonts w:hint="eastAsia" w:cs="宋体"/>
          <w:color w:val="auto"/>
          <w:sz w:val="28"/>
          <w:szCs w:val="28"/>
          <w:highlight w:val="none"/>
        </w:rPr>
        <w:t>）其他材料（如有）</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16</w:t>
      </w:r>
      <w:r>
        <w:rPr>
          <w:rFonts w:hint="eastAsia" w:cs="宋体"/>
          <w:color w:val="auto"/>
          <w:sz w:val="28"/>
          <w:szCs w:val="28"/>
          <w:highlight w:val="none"/>
        </w:rPr>
        <w:t>）投标人须知前附表规定的其他资料。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第二个信封（报价文件）：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w:t>
      </w:r>
      <w:r>
        <w:rPr>
          <w:rFonts w:cs="宋体"/>
          <w:color w:val="auto"/>
          <w:sz w:val="28"/>
          <w:szCs w:val="28"/>
          <w:highlight w:val="none"/>
        </w:rPr>
        <w:t>1</w:t>
      </w:r>
      <w:r>
        <w:rPr>
          <w:rFonts w:hint="eastAsia" w:cs="宋体"/>
          <w:color w:val="auto"/>
          <w:sz w:val="28"/>
          <w:szCs w:val="28"/>
          <w:highlight w:val="none"/>
        </w:rPr>
        <w:t>）投标函；</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投标人在评标过程中作出的符合法律法规和招标文件规定的澄清确认，构成投标文件的组成部分。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 投标报价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3.2.1 投标报价应包括国家规定的增值税税金，除投标人须知前附表另有规定外，增值税税金按一般计税方法计算。投标人应按第九章“投标文件格式”的要求在投标函中进行报价。</w:t>
      </w:r>
    </w:p>
    <w:p>
      <w:pPr>
        <w:adjustRightInd w:val="0"/>
        <w:snapToGrid w:val="0"/>
        <w:spacing w:line="360" w:lineRule="auto"/>
        <w:rPr>
          <w:rFonts w:cs="宋体"/>
          <w:b/>
          <w:bCs/>
          <w:color w:val="auto"/>
          <w:sz w:val="28"/>
          <w:szCs w:val="28"/>
          <w:highlight w:val="none"/>
        </w:rPr>
      </w:pPr>
      <w:r>
        <w:rPr>
          <w:rFonts w:hint="eastAsia" w:cs="宋体"/>
          <w:b/>
          <w:bCs/>
          <w:color w:val="auto"/>
          <w:sz w:val="28"/>
          <w:szCs w:val="28"/>
          <w:highlight w:val="none"/>
        </w:rPr>
        <w:t>投标人在填报综合单价时应在合理范围内，如若报价明显低于其他投标报价，使得其投标报价可能低于其个别成本的，且未能提供相应的说明及证明材料，评标委员会有权否决投标。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3.2.2 投标人应充分了解本项目的总体情况以及影响投标报价的其他要素。</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3.2.3 本项目的报价方式见投标人须知前附表。投标人在投标截止时间前修改投标函中的投标报价的，，此修改须符合本章第 4.3 款的有关要求。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w:t>
      </w:r>
      <w:r>
        <w:rPr>
          <w:rFonts w:cs="宋体"/>
          <w:color w:val="auto"/>
          <w:sz w:val="28"/>
          <w:szCs w:val="28"/>
          <w:highlight w:val="none"/>
        </w:rPr>
        <w:t>4</w:t>
      </w:r>
      <w:r>
        <w:rPr>
          <w:rFonts w:hint="eastAsia" w:cs="宋体"/>
          <w:color w:val="auto"/>
          <w:sz w:val="28"/>
          <w:szCs w:val="28"/>
          <w:highlight w:val="none"/>
        </w:rPr>
        <w:t xml:space="preserve"> 招标人设有最高投标限价的，投标人的投标报价不得超过最高投标限价，最高投标限价在投标人须知前附表中载明。</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3.2.</w:t>
      </w:r>
      <w:r>
        <w:rPr>
          <w:rFonts w:cs="宋体"/>
          <w:color w:val="auto"/>
          <w:sz w:val="28"/>
          <w:szCs w:val="28"/>
          <w:highlight w:val="none"/>
        </w:rPr>
        <w:t>5</w:t>
      </w:r>
      <w:r>
        <w:rPr>
          <w:rFonts w:hint="eastAsia" w:cs="宋体"/>
          <w:color w:val="auto"/>
          <w:sz w:val="28"/>
          <w:szCs w:val="28"/>
          <w:highlight w:val="none"/>
        </w:rPr>
        <w:t xml:space="preserve"> 投标报价的其他要求见投标人须知前附表。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3.3 投标有效期</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3.3.1 除投标人须知前附表另有规定外，投标有效期为 90 日。</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3.3.2 在投标有效期内，投标人撤销投标文件的，应承担招标文件和法律规定的责任。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3.3.3 出现特殊情况需要延长投标有效期的，招标人通知所有投标人延长投标有效期。投标人应予以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3.4 投标保证金</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3.4.1 投标人在递交投标文件的同时，应按投标人须知前附表规定的金额和第九章“投标文件格式”规定的投标保证金格式递交投标保证金，并作为其投标文件的组成部分。联合体投标的，其投标保证金由牵头人递交，并应符合投标人须知前附表的规定。投标保证金应采用现金、支票、银行保函或招标人在投标人须知前附表规定的其他形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（1）若采用现金或支票，投标人应在递交投标文件截止时间之前，将投标保证金由投标人的基本账户转入招标人指定账户，否则视为投标保证金无效。招标人指定的开户银行及账号见投标人须知前附表。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（2）若采用银行保函，则应由符合投标人须知前附表规定级别的银行开具，并采用招标文件提供的格式。银行保函复印件装订在投标文件内，原件应在递交投标文件截止时间之前单独密封递交给招标人。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无论采取何种形式的投标保证金，投标保证金有效期均应与投标有效期一致。招标人如果按本章第 3.3.3 项的规定延长了投标有效期，则投标保证金的有效期也相应延长。</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3.4.2 投标人不按本章第 3.4.1 项要求提交投标保证金的，评标委员会将否决其投标。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利息计算原则见投标人须知前附表。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3.4.4 有下列情形之一的，投标保证金将不予退还：</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（1）投标人在投标有效期内撤销投标文件；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（2）中标人在收到中标通知书后，无正当理由不与招标人订立合同，在签订合同时向招标人提出附加条件，或不按照招标文件要求提交履约保证金；</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（3）发生投标人须知前附表规定的其他可以不予退还投标保证金的情形。</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 资格审查资料（适用于未进行资格预审的）</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除投标人须知前附表另有规定外，投标人应按下列规定提供资格审查资料，以证明其满足本章第 1.4 款规定的资质、财务、业绩、信誉等要求。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3.5.1 “投标人基本情况表”应附企业法人营业执照副本和组织机构代码证副本（按照“三证合一”或“五证合一”登记制度进行登记的，可仅提供营业执照副本，下同）、施工资质证书副本、安全生产许可证副本、基本账户开户许可证（或基本开户信息）的复印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企业法人营业执照副本和组织机构代码证副本、施工资质证书副本、安全生产许可证副本、基本账户开户许可证（或基本开户信息）的复印件，应包括投标人名称、投标人其他相关信息、颁发机构名称、投标人信息变更情况等关键页在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3.5.2 “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本项目无须提供）。</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3.5.3 “近年完成的类似项目”要求详见招标公告。</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3.5.4 “投标人的信誉情况表”应附投标人在国家企业信用信息公示系统中未被列入严重违法失信企业名单、在“信用中国”网站中未被列入失信被执行人名单的网页截图复印件。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3.5.5 “拟委任的项目经理资历表”应附项目经理资格审查条件及打分点所要求的其他相关证书（如建造师注册证书、安全生产考核合格证书等）的复印件。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3.5.6 “拟委任的其他管理和技术人员汇总表”（如有）应填报满足投标人须知前附表附录 6 规定的其他人员的相关信息。“拟委任的其他管理和技术人员资历表”（如有）中相关人员应附身份证、职称资格证书以及资格审查条件所要求的其他相关证书的复印件，相关业绩证明材料复印件，以及投标人所属社保机构出具的社保缴费证明或其他能够证明其参加社保的有效证明材料复印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3.5.7 “拟投入本标段的主要施工机械表”“拟配备本标段的主要材料试验、测量、质检仪器设备表”（如有）应填报满足投标人须知前附表附录 7 规定的机械设备和试验检测设备。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3.5.8 投标人须知前附表规定接受联合体投标的，本章第 3.5.1 项至第 3.5.7 项规定的表格和资料应包括联合体各方相关情况。</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3.5.9 除合同条款约定的特殊情形外，投标人在投标文件中填报的项目经理不允许更换。</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3.5.1</w:t>
      </w:r>
      <w:r>
        <w:rPr>
          <w:rFonts w:cs="宋体"/>
          <w:color w:val="auto"/>
          <w:sz w:val="28"/>
          <w:szCs w:val="28"/>
          <w:highlight w:val="none"/>
        </w:rPr>
        <w:t>0</w:t>
      </w:r>
      <w:r>
        <w:rPr>
          <w:rFonts w:hint="eastAsia" w:cs="宋体"/>
          <w:color w:val="auto"/>
          <w:sz w:val="28"/>
          <w:szCs w:val="28"/>
          <w:highlight w:val="none"/>
        </w:rPr>
        <w:t xml:space="preserve">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3.6 备选投标方案</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3.6.1 除投标人须知前附表规定允许外，投标人不得递交备选投标方案，否则其投标将被否决。</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3.6.3 投标人提供两个或两个以上投标报价，或在投标文件中提供一个报价，但同时提供两个或两个以上施工组织设计的，视为提供备选方案。</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3.7 投标文件的编制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3.7.2 投标文件应对招标文件有关工期、投标有效期、质量要求、安全目标、技术标准和要求、招标范围等实质性内容作出响应。</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3.7.</w:t>
      </w:r>
      <w:r>
        <w:rPr>
          <w:rFonts w:cs="宋体"/>
          <w:color w:val="auto"/>
          <w:sz w:val="28"/>
          <w:szCs w:val="28"/>
          <w:highlight w:val="none"/>
        </w:rPr>
        <w:t>3投标文件应用不褪色的材料书写或打印</w:t>
      </w:r>
      <w:r>
        <w:rPr>
          <w:rFonts w:hint="eastAsia" w:cs="宋体"/>
          <w:color w:val="auto"/>
          <w:sz w:val="28"/>
          <w:szCs w:val="28"/>
          <w:highlight w:val="none"/>
        </w:rPr>
        <w:t>，并按</w:t>
      </w:r>
      <w:r>
        <w:rPr>
          <w:rFonts w:cs="宋体"/>
          <w:color w:val="auto"/>
          <w:sz w:val="28"/>
          <w:szCs w:val="28"/>
          <w:highlight w:val="none"/>
        </w:rPr>
        <w:t>投标文件格式中明确要求</w:t>
      </w:r>
      <w:r>
        <w:rPr>
          <w:rFonts w:hint="eastAsia" w:cs="宋体"/>
          <w:color w:val="auto"/>
          <w:sz w:val="28"/>
          <w:szCs w:val="28"/>
          <w:highlight w:val="none"/>
        </w:rPr>
        <w:t>签名盖章</w:t>
      </w:r>
      <w:r>
        <w:rPr>
          <w:rFonts w:cs="宋体"/>
          <w:color w:val="auto"/>
          <w:sz w:val="28"/>
          <w:szCs w:val="28"/>
          <w:highlight w:val="none"/>
        </w:rPr>
        <w:t>。</w:t>
      </w:r>
    </w:p>
    <w:p>
      <w:pPr>
        <w:adjustRightInd w:val="0"/>
        <w:snapToGrid w:val="0"/>
        <w:spacing w:line="360" w:lineRule="auto"/>
        <w:rPr>
          <w:rFonts w:cs="宋体"/>
          <w:color w:val="auto"/>
          <w:sz w:val="28"/>
          <w:szCs w:val="28"/>
          <w:highlight w:val="none"/>
        </w:rPr>
      </w:pPr>
      <w:r>
        <w:rPr>
          <w:rFonts w:cs="宋体"/>
          <w:color w:val="auto"/>
          <w:sz w:val="28"/>
          <w:szCs w:val="28"/>
          <w:highlight w:val="none"/>
        </w:rPr>
        <w:t>如果投标文件由委托代理人签署，则投标人须提交授权委托书，授权委托书应按第九章“投标文件格式”的要求出具。</w:t>
      </w:r>
    </w:p>
    <w:p>
      <w:pPr>
        <w:adjustRightInd w:val="0"/>
        <w:snapToGrid w:val="0"/>
        <w:spacing w:line="360" w:lineRule="auto"/>
        <w:rPr>
          <w:rFonts w:cs="宋体"/>
          <w:color w:val="auto"/>
          <w:sz w:val="28"/>
          <w:szCs w:val="28"/>
          <w:highlight w:val="none"/>
        </w:rPr>
      </w:pPr>
      <w:r>
        <w:rPr>
          <w:rFonts w:cs="宋体"/>
          <w:color w:val="auto"/>
          <w:sz w:val="28"/>
          <w:szCs w:val="28"/>
          <w:highlight w:val="none"/>
        </w:rPr>
        <w:t>如果由投标人的法定代表人亲自签署投标文件，则投标人须提交法定代表人身份证明，身份证明应符合第九章“投标文件格式”的要求。</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投标文件应尽量避免涂改、行间插字或删除。如果出现上述情况，改动之处应由投标人的法定代表人或其授权的代理人签字或盖单位章。</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投标文件正本一份, 副本份数见投标人须知前附表。正本和副本的封面右上角上应清楚地标记“正本”或“副本”字样。投标人应根据投标人须知前附表要求提供电子版文件。当副本和正本不一致或电子版文件和纸质正本文件不一致时，以纸质正本文件为准。</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文件的正本与副本应分别装订成册（A4纸幅），编制目录并逐页标注连续页码。投标文件不得采用活页夹装订，否则，招标人对由于投标文件装订松散而造成的丢失或其他后果不承担任何责任。装订的其他要求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4.投标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.1</w:t>
      </w:r>
      <w:r>
        <w:rPr>
          <w:rFonts w:hint="eastAsia" w:cs="宋体"/>
          <w:color w:val="auto"/>
          <w:sz w:val="28"/>
          <w:szCs w:val="28"/>
          <w:highlight w:val="none"/>
        </w:rPr>
        <w:t>投标文件的密封和标识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.1.1投标文件应采用双信封形式密封。投标文件第一个信封（商务及技术文件） 以及第二个信封（报价文件）应单独密封包装。商务</w:t>
      </w:r>
      <w:r>
        <w:rPr>
          <w:rFonts w:hint="eastAsia" w:cs="宋体"/>
          <w:color w:val="auto"/>
          <w:sz w:val="28"/>
          <w:szCs w:val="28"/>
          <w:highlight w:val="none"/>
        </w:rPr>
        <w:t>及</w:t>
      </w:r>
      <w:r>
        <w:rPr>
          <w:rFonts w:cs="宋体"/>
          <w:color w:val="auto"/>
          <w:sz w:val="28"/>
          <w:szCs w:val="28"/>
          <w:highlight w:val="none"/>
        </w:rPr>
        <w:t>技术文件的正本与副本及投标文件电子版文件应统一密封在一个封套中。报价文件的正本与副本应统一密封在另一个封套中。封套</w:t>
      </w:r>
      <w:r>
        <w:rPr>
          <w:rFonts w:hint="eastAsia" w:cs="宋体"/>
          <w:color w:val="auto"/>
          <w:sz w:val="28"/>
          <w:szCs w:val="28"/>
          <w:highlight w:val="none"/>
        </w:rPr>
        <w:t>上应</w:t>
      </w:r>
      <w:r>
        <w:rPr>
          <w:rFonts w:cs="宋体"/>
          <w:color w:val="auto"/>
          <w:sz w:val="28"/>
          <w:szCs w:val="28"/>
          <w:highlight w:val="none"/>
        </w:rPr>
        <w:t>加盖投标人单位章或由投标人的法定代表人或其委托代理人签字。</w:t>
      </w:r>
    </w:p>
    <w:p>
      <w:pPr>
        <w:adjustRightInd w:val="0"/>
        <w:snapToGrid w:val="0"/>
        <w:spacing w:line="360" w:lineRule="auto"/>
        <w:rPr>
          <w:rFonts w:cs="宋体"/>
          <w:color w:val="auto"/>
          <w:sz w:val="28"/>
          <w:szCs w:val="28"/>
          <w:highlight w:val="none"/>
        </w:rPr>
      </w:pPr>
      <w:r>
        <w:rPr>
          <w:rFonts w:cs="宋体"/>
          <w:color w:val="auto"/>
          <w:sz w:val="28"/>
          <w:szCs w:val="28"/>
          <w:highlight w:val="none"/>
        </w:rPr>
        <w:t>采用银行保函形式提交投标保证金的，银行保函原件应密封在单独的封套中。</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投标文件第一个信封（商务及技术文件）、第二个信封（报价文件）以及银行保函封套上应写明的内容见投标人须知前附表。</w:t>
      </w:r>
    </w:p>
    <w:p>
      <w:pPr>
        <w:tabs>
          <w:tab w:val="left" w:pos="1450"/>
        </w:tabs>
        <w:autoSpaceDE w:val="0"/>
        <w:autoSpaceDN w:val="0"/>
        <w:spacing w:before="93"/>
        <w:jc w:val="left"/>
        <w:rPr>
          <w:rFonts w:cs="宋体"/>
          <w:color w:val="auto"/>
          <w:sz w:val="28"/>
          <w:szCs w:val="28"/>
          <w:highlight w:val="none"/>
        </w:rPr>
      </w:pPr>
      <w:r>
        <w:rPr>
          <w:rFonts w:cs="宋体"/>
          <w:color w:val="auto"/>
          <w:sz w:val="28"/>
          <w:szCs w:val="28"/>
          <w:highlight w:val="none"/>
        </w:rPr>
        <w:t>4.1.2未按本章第 4.1.1 项要求密封的投标文件，招标人将予以拒收。</w:t>
      </w:r>
    </w:p>
    <w:p>
      <w:pPr>
        <w:autoSpaceDE w:val="0"/>
        <w:autoSpaceDN w:val="0"/>
        <w:spacing w:before="1"/>
        <w:jc w:val="left"/>
        <w:rPr>
          <w:rFonts w:ascii="宋体" w:hAnsi="宋体" w:cs="宋体"/>
          <w:color w:val="auto"/>
          <w:kern w:val="0"/>
          <w:sz w:val="19"/>
          <w:szCs w:val="24"/>
          <w:highlight w:val="none"/>
          <w:lang w:val="zh-CN" w:bidi="zh-CN"/>
        </w:rPr>
      </w:pP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4.2 投标文件的递交</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.2.1投标人应在第一章“招标公告”或“投标邀请书”规定的投标截止时间前递交投标文件。</w:t>
      </w:r>
    </w:p>
    <w:p>
      <w:pPr>
        <w:adjustRightInd w:val="0"/>
        <w:snapToGrid w:val="0"/>
        <w:spacing w:line="360" w:lineRule="auto"/>
        <w:rPr>
          <w:rFonts w:cs="宋体"/>
          <w:color w:val="auto"/>
          <w:sz w:val="28"/>
          <w:szCs w:val="28"/>
          <w:highlight w:val="none"/>
        </w:rPr>
      </w:pPr>
      <w:r>
        <w:rPr>
          <w:rFonts w:cs="宋体"/>
          <w:color w:val="auto"/>
          <w:sz w:val="28"/>
          <w:szCs w:val="28"/>
          <w:highlight w:val="none"/>
        </w:rPr>
        <w:t>4.2.2投标人递交投标文件的地点：见第一章“招标公告”或“投标邀请书”。</w:t>
      </w:r>
    </w:p>
    <w:p>
      <w:pPr>
        <w:adjustRightInd w:val="0"/>
        <w:snapToGrid w:val="0"/>
        <w:spacing w:line="360" w:lineRule="auto"/>
        <w:rPr>
          <w:rFonts w:cs="宋体"/>
          <w:color w:val="auto"/>
          <w:sz w:val="28"/>
          <w:szCs w:val="28"/>
          <w:highlight w:val="none"/>
        </w:rPr>
      </w:pPr>
      <w:r>
        <w:rPr>
          <w:rFonts w:cs="宋体"/>
          <w:color w:val="auto"/>
          <w:sz w:val="28"/>
          <w:szCs w:val="28"/>
          <w:highlight w:val="none"/>
        </w:rPr>
        <w:t>4.2.3除投标人须知前附表另有规定外，投标人所递交的投标文件不予退还。投标人少于 3 个的，投标文件当场退还给投标人。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.2.4</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.2.5逾期送达的或未送达指定地点的投标文件，招标人将予以拒收。</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4.3 投标文件的修改与撤回</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.3.1在本章第 4.2.1 项规定的投标截止时间前，投标人可以修改或撤回已递交的投标文件，但应以书面形式通知招标人。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.3.2</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w:t>
      </w:r>
      <w:r>
        <w:rPr>
          <w:rFonts w:cs="宋体"/>
          <w:color w:val="auto"/>
          <w:sz w:val="28"/>
          <w:szCs w:val="28"/>
          <w:highlight w:val="none"/>
        </w:rPr>
        <w:t>.3.3投标人撤回投标文件的，招标人自收到投标人书面撤回通知之日起 5 日内退还已收取的投标保证金。</w:t>
      </w:r>
    </w:p>
    <w:p>
      <w:pPr>
        <w:adjustRightInd w:val="0"/>
        <w:snapToGrid w:val="0"/>
        <w:spacing w:line="360" w:lineRule="auto"/>
        <w:rPr>
          <w:rFonts w:cs="宋体"/>
          <w:color w:val="auto"/>
          <w:sz w:val="28"/>
          <w:szCs w:val="28"/>
          <w:highlight w:val="none"/>
        </w:rPr>
      </w:pPr>
      <w:r>
        <w:rPr>
          <w:rFonts w:cs="宋体"/>
          <w:color w:val="auto"/>
          <w:sz w:val="28"/>
          <w:szCs w:val="28"/>
          <w:highlight w:val="none"/>
        </w:rPr>
        <w:t>4.3.4修改的内容为投标文件的组成部分。修改的投标文件应按照本章第 3 条、第 4 条的规定进行编制、密封、标记和递交，并标明“修改”字样。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5.开标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采用双信封形式，第 5.1 款采用以下条款：</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5.1 开标时间和地点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5.1.1 招标人在本章第 4.2.1 项规定的投标截止时间（开标时间）和投标人须知前附表规定的地点对收到的投标文件第一个信封（商务及技术文件）公开开标，并邀请所有投标人的法定代表人或其委托代理人准时参加。</w:t>
      </w:r>
    </w:p>
    <w:p>
      <w:pPr>
        <w:adjustRightInd w:val="0"/>
        <w:snapToGrid w:val="0"/>
        <w:spacing w:line="360" w:lineRule="auto"/>
        <w:ind w:firstLine="420" w:firstLineChars="150"/>
        <w:rPr>
          <w:rFonts w:cs="宋体"/>
          <w:color w:val="auto"/>
          <w:sz w:val="28"/>
          <w:szCs w:val="28"/>
          <w:highlight w:val="none"/>
        </w:rPr>
      </w:pPr>
      <w:r>
        <w:rPr>
          <w:rFonts w:hint="eastAsia" w:cs="宋体"/>
          <w:color w:val="auto"/>
          <w:sz w:val="28"/>
          <w:szCs w:val="28"/>
          <w:highlight w:val="none"/>
        </w:rPr>
        <w:t>招标人在投标人须知前附表规定的时间和地点对投标文件第二个信封（报价文件）进行开标，并邀请所有投标人的法定代表人或其委托代理人准时参加。</w:t>
      </w:r>
    </w:p>
    <w:p>
      <w:pPr>
        <w:adjustRightInd w:val="0"/>
        <w:snapToGrid w:val="0"/>
        <w:spacing w:line="360" w:lineRule="auto"/>
        <w:ind w:firstLine="420" w:firstLineChars="150"/>
        <w:rPr>
          <w:rFonts w:cs="宋体"/>
          <w:color w:val="auto"/>
          <w:sz w:val="28"/>
          <w:szCs w:val="28"/>
          <w:highlight w:val="none"/>
        </w:rPr>
      </w:pPr>
      <w:r>
        <w:rPr>
          <w:rFonts w:hint="eastAsia"/>
          <w:color w:val="auto"/>
          <w:sz w:val="28"/>
          <w:szCs w:val="28"/>
          <w:highlight w:val="none"/>
        </w:rPr>
        <w:t>投标人若未按前附表要求派</w:t>
      </w:r>
      <w:r>
        <w:rPr>
          <w:rFonts w:hint="eastAsia" w:cs="宋体"/>
          <w:color w:val="auto"/>
          <w:sz w:val="28"/>
          <w:szCs w:val="28"/>
          <w:highlight w:val="none"/>
        </w:rPr>
        <w:t>法定代表人或委托代理人参加第一个信封（商务及技术文件）开标的，</w:t>
      </w:r>
      <w:r>
        <w:rPr>
          <w:rFonts w:hint="eastAsia"/>
          <w:color w:val="auto"/>
          <w:sz w:val="28"/>
          <w:szCs w:val="28"/>
          <w:highlight w:val="none"/>
        </w:rPr>
        <w:t>视为该投标人默认开标结果</w:t>
      </w:r>
      <w:r>
        <w:rPr>
          <w:rFonts w:hint="eastAsia" w:cs="宋体"/>
          <w:color w:val="auto"/>
          <w:sz w:val="28"/>
          <w:szCs w:val="28"/>
          <w:highlight w:val="none"/>
        </w:rPr>
        <w:t>。</w:t>
      </w:r>
      <w:r>
        <w:rPr>
          <w:rFonts w:hint="eastAsia"/>
          <w:color w:val="auto"/>
          <w:sz w:val="28"/>
          <w:szCs w:val="28"/>
          <w:highlight w:val="none"/>
        </w:rPr>
        <w:t>投标人若未按前附表要求派</w:t>
      </w:r>
      <w:r>
        <w:rPr>
          <w:rFonts w:hint="eastAsia" w:cs="宋体"/>
          <w:color w:val="auto"/>
          <w:sz w:val="28"/>
          <w:szCs w:val="28"/>
          <w:highlight w:val="none"/>
        </w:rPr>
        <w:t>法定代表人或委托代理人参加第二个信封（报价文件）开标的，视为该投标人默认第二个信封（报价文件）的开标结果。</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若采用单信封形式，第 5.1 款采用以下条款：</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5.1 开标时间和地点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招标人在本章第 4.2.1 项规定的投标截止时间（开标时间）和投标人须知前附表规定的地点公开开标，并邀请所有投标人的法定代表人或其委托代理人准时参加。</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投标人若未按前附表要求派法定代表人或委托代理人出席开标活动，视为该投标人默认开标结果。</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若采用双信封形式，第 5.2 款采用以下条款：</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5.2 开标程序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5.2.1 主持人按下列程序对投标文件第一个信封（商务及技术文件）进行开标：</w:t>
      </w:r>
    </w:p>
    <w:p>
      <w:pPr>
        <w:autoSpaceDE w:val="0"/>
        <w:autoSpaceDN w:val="0"/>
        <w:spacing w:before="94"/>
        <w:ind w:left="729"/>
        <w:jc w:val="left"/>
        <w:rPr>
          <w:rFonts w:cs="宋体"/>
          <w:color w:val="auto"/>
          <w:sz w:val="28"/>
          <w:szCs w:val="28"/>
          <w:highlight w:val="none"/>
        </w:rPr>
      </w:pPr>
      <w:r>
        <w:rPr>
          <w:rFonts w:cs="宋体"/>
          <w:color w:val="auto"/>
          <w:sz w:val="28"/>
          <w:szCs w:val="28"/>
          <w:highlight w:val="none"/>
        </w:rPr>
        <w:t>（1）宣布开标纪律；</w:t>
      </w:r>
    </w:p>
    <w:p>
      <w:pPr>
        <w:autoSpaceDE w:val="0"/>
        <w:autoSpaceDN w:val="0"/>
        <w:spacing w:before="90"/>
        <w:ind w:left="729"/>
        <w:jc w:val="left"/>
        <w:rPr>
          <w:rFonts w:cs="宋体"/>
          <w:color w:val="auto"/>
          <w:sz w:val="28"/>
          <w:szCs w:val="28"/>
          <w:highlight w:val="none"/>
        </w:rPr>
      </w:pPr>
      <w:r>
        <w:rPr>
          <w:rFonts w:cs="宋体"/>
          <w:color w:val="auto"/>
          <w:sz w:val="28"/>
          <w:szCs w:val="28"/>
          <w:highlight w:val="none"/>
        </w:rPr>
        <w:t>（2）公布在投标截止时间前递交投标文件的投标人数量；</w:t>
      </w:r>
    </w:p>
    <w:p>
      <w:pPr>
        <w:autoSpaceDE w:val="0"/>
        <w:autoSpaceDN w:val="0"/>
        <w:spacing w:before="94"/>
        <w:ind w:left="729"/>
        <w:jc w:val="left"/>
        <w:rPr>
          <w:rFonts w:cs="宋体"/>
          <w:color w:val="auto"/>
          <w:sz w:val="28"/>
          <w:szCs w:val="28"/>
          <w:highlight w:val="none"/>
        </w:rPr>
      </w:pPr>
      <w:r>
        <w:rPr>
          <w:rFonts w:cs="宋体"/>
          <w:color w:val="auto"/>
          <w:sz w:val="28"/>
          <w:szCs w:val="28"/>
          <w:highlight w:val="none"/>
        </w:rPr>
        <w:t>（3）宣布开标人、唱标人、记录人等有关人员姓名；</w:t>
      </w:r>
    </w:p>
    <w:p>
      <w:pPr>
        <w:autoSpaceDE w:val="0"/>
        <w:autoSpaceDN w:val="0"/>
        <w:spacing w:before="93"/>
        <w:ind w:left="729"/>
        <w:jc w:val="left"/>
        <w:rPr>
          <w:rFonts w:cs="宋体"/>
          <w:color w:val="auto"/>
          <w:sz w:val="28"/>
          <w:szCs w:val="28"/>
          <w:highlight w:val="none"/>
        </w:rPr>
      </w:pPr>
      <w:r>
        <w:rPr>
          <w:rFonts w:cs="宋体"/>
          <w:color w:val="auto"/>
          <w:sz w:val="28"/>
          <w:szCs w:val="28"/>
          <w:highlight w:val="none"/>
        </w:rPr>
        <w:t>（4）按照投标人须知前附表规定由投标人推选的代表检查投标文件的密封情况；</w:t>
      </w:r>
    </w:p>
    <w:p>
      <w:pPr>
        <w:autoSpaceDE w:val="0"/>
        <w:autoSpaceDN w:val="0"/>
        <w:spacing w:before="91" w:line="312" w:lineRule="auto"/>
        <w:ind w:left="369" w:right="327" w:firstLine="360"/>
        <w:jc w:val="left"/>
        <w:rPr>
          <w:rFonts w:cs="宋体"/>
          <w:color w:val="auto"/>
          <w:sz w:val="28"/>
          <w:szCs w:val="28"/>
          <w:highlight w:val="none"/>
        </w:rPr>
      </w:pPr>
      <w:r>
        <w:rPr>
          <w:rFonts w:cs="宋体"/>
          <w:color w:val="auto"/>
          <w:sz w:val="28"/>
          <w:szCs w:val="28"/>
          <w:highlight w:val="none"/>
        </w:rPr>
        <w:t>（5）按照投标人须知前附表规定的开标顺序当众开标，公布标段名称、投标人名称、投标保证金的递交情况、工期及其他内容，并记录在案；</w:t>
      </w:r>
    </w:p>
    <w:p>
      <w:pPr>
        <w:autoSpaceDE w:val="0"/>
        <w:autoSpaceDN w:val="0"/>
        <w:spacing w:before="3"/>
        <w:ind w:left="729"/>
        <w:jc w:val="left"/>
        <w:rPr>
          <w:rFonts w:cs="宋体"/>
          <w:color w:val="auto"/>
          <w:sz w:val="28"/>
          <w:szCs w:val="28"/>
          <w:highlight w:val="none"/>
        </w:rPr>
      </w:pPr>
      <w:r>
        <w:rPr>
          <w:rFonts w:cs="宋体"/>
          <w:color w:val="auto"/>
          <w:sz w:val="28"/>
          <w:szCs w:val="28"/>
          <w:highlight w:val="none"/>
        </w:rPr>
        <w:t>（6）投标人代表、招标人代表、记录人等有关人员在开标记录上签字确认；</w:t>
      </w:r>
    </w:p>
    <w:p>
      <w:pPr>
        <w:autoSpaceDE w:val="0"/>
        <w:autoSpaceDN w:val="0"/>
        <w:spacing w:before="91"/>
        <w:ind w:left="729"/>
        <w:jc w:val="left"/>
        <w:rPr>
          <w:rFonts w:cs="宋体"/>
          <w:color w:val="auto"/>
          <w:sz w:val="28"/>
          <w:szCs w:val="28"/>
          <w:highlight w:val="none"/>
        </w:rPr>
      </w:pPr>
      <w:r>
        <w:rPr>
          <w:rFonts w:cs="宋体"/>
          <w:color w:val="auto"/>
          <w:sz w:val="28"/>
          <w:szCs w:val="28"/>
          <w:highlight w:val="none"/>
        </w:rPr>
        <w:t>（7）开标结束。</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.2.2在投标文件第一个信封（商务及技术文件）开标现场，投标文件第二个信封（报价文件）不予开封，由招标人密封保存。</w:t>
      </w:r>
    </w:p>
    <w:p>
      <w:pPr>
        <w:adjustRightInd w:val="0"/>
        <w:snapToGrid w:val="0"/>
        <w:spacing w:line="360" w:lineRule="auto"/>
        <w:rPr>
          <w:rFonts w:cs="宋体"/>
          <w:color w:val="auto"/>
          <w:sz w:val="28"/>
          <w:szCs w:val="28"/>
          <w:highlight w:val="none"/>
        </w:rPr>
      </w:pPr>
      <w:r>
        <w:rPr>
          <w:rFonts w:cs="宋体"/>
          <w:color w:val="auto"/>
          <w:sz w:val="28"/>
          <w:szCs w:val="28"/>
          <w:highlight w:val="none"/>
        </w:rPr>
        <w:t>5.2.3招标人将按照本章第 5.1 款规定的时间和地点对投标文件第二个信封（报价文件）进行开标。主持人按下列程序进行开标：</w:t>
      </w:r>
    </w:p>
    <w:p>
      <w:pPr>
        <w:adjustRightInd w:val="0"/>
        <w:snapToGrid w:val="0"/>
        <w:spacing w:line="360" w:lineRule="auto"/>
        <w:rPr>
          <w:rFonts w:cs="宋体"/>
          <w:color w:val="auto"/>
          <w:sz w:val="28"/>
          <w:szCs w:val="28"/>
          <w:highlight w:val="none"/>
        </w:rPr>
      </w:pPr>
      <w:r>
        <w:rPr>
          <w:rFonts w:cs="宋体"/>
          <w:color w:val="auto"/>
          <w:sz w:val="28"/>
          <w:szCs w:val="28"/>
          <w:highlight w:val="none"/>
        </w:rPr>
        <w:t>（1）宣布开标纪律；</w:t>
      </w:r>
    </w:p>
    <w:p>
      <w:pPr>
        <w:adjustRightInd w:val="0"/>
        <w:snapToGrid w:val="0"/>
        <w:spacing w:line="360" w:lineRule="auto"/>
        <w:rPr>
          <w:rFonts w:cs="宋体"/>
          <w:color w:val="auto"/>
          <w:sz w:val="28"/>
          <w:szCs w:val="28"/>
          <w:highlight w:val="none"/>
        </w:rPr>
      </w:pPr>
      <w:r>
        <w:rPr>
          <w:rFonts w:cs="宋体"/>
          <w:color w:val="auto"/>
          <w:sz w:val="28"/>
          <w:szCs w:val="28"/>
          <w:highlight w:val="none"/>
        </w:rPr>
        <w:t>（2）当众拆开投标文件第一个信封（商务及技术文件）评审结果的密封袋，宣布通过投标文件第一个信封（商务及技术文件）评审的投标人名单；</w:t>
      </w:r>
    </w:p>
    <w:p>
      <w:pPr>
        <w:adjustRightInd w:val="0"/>
        <w:snapToGrid w:val="0"/>
        <w:spacing w:line="360" w:lineRule="auto"/>
        <w:rPr>
          <w:rFonts w:cs="宋体"/>
          <w:color w:val="auto"/>
          <w:sz w:val="28"/>
          <w:szCs w:val="28"/>
          <w:highlight w:val="none"/>
        </w:rPr>
      </w:pPr>
      <w:r>
        <w:rPr>
          <w:rFonts w:cs="宋体"/>
          <w:color w:val="auto"/>
          <w:sz w:val="28"/>
          <w:szCs w:val="28"/>
          <w:highlight w:val="none"/>
        </w:rPr>
        <w:t>（3）宣布开标人、唱标人、记录人等有关人员姓名；</w:t>
      </w:r>
    </w:p>
    <w:p>
      <w:pPr>
        <w:adjustRightInd w:val="0"/>
        <w:snapToGrid w:val="0"/>
        <w:spacing w:line="360" w:lineRule="auto"/>
        <w:rPr>
          <w:rFonts w:cs="宋体"/>
          <w:color w:val="auto"/>
          <w:sz w:val="28"/>
          <w:szCs w:val="28"/>
          <w:highlight w:val="none"/>
        </w:rPr>
      </w:pPr>
      <w:r>
        <w:rPr>
          <w:rFonts w:cs="宋体"/>
          <w:color w:val="auto"/>
          <w:sz w:val="28"/>
          <w:szCs w:val="28"/>
          <w:highlight w:val="none"/>
        </w:rPr>
        <w:t>（4）按照投标人须知前附表规定由投标人推选的代表检查投标文件的密封情况；</w:t>
      </w:r>
    </w:p>
    <w:p>
      <w:pPr>
        <w:adjustRightInd w:val="0"/>
        <w:snapToGrid w:val="0"/>
        <w:spacing w:line="360" w:lineRule="auto"/>
        <w:rPr>
          <w:rFonts w:cs="宋体"/>
          <w:color w:val="auto"/>
          <w:sz w:val="28"/>
          <w:szCs w:val="28"/>
          <w:highlight w:val="none"/>
        </w:rPr>
      </w:pPr>
      <w:r>
        <w:rPr>
          <w:rFonts w:cs="宋体"/>
          <w:color w:val="auto"/>
          <w:sz w:val="28"/>
          <w:szCs w:val="28"/>
          <w:highlight w:val="none"/>
        </w:rPr>
        <w:t>（5）按照投标人须知前附表规定的开标顺序当众开标，开标人只拆封通过投标文件第一个信封（商务及技术文件）评审的投标文件第二个信封（报价文件），公布标段名称、投标人名称、投标报价</w:t>
      </w:r>
      <w:r>
        <w:rPr>
          <w:rFonts w:ascii="宋体" w:hAnsi="宋体" w:cs="宋体"/>
          <w:color w:val="auto"/>
          <w:sz w:val="28"/>
          <w:szCs w:val="28"/>
          <w:highlight w:val="none"/>
        </w:rPr>
        <w:t>①</w:t>
      </w:r>
      <w:r>
        <w:rPr>
          <w:rFonts w:cs="宋体"/>
          <w:color w:val="auto"/>
          <w:sz w:val="28"/>
          <w:szCs w:val="28"/>
          <w:highlight w:val="none"/>
        </w:rPr>
        <w:t>及其他内容，并记录在案；</w:t>
      </w:r>
    </w:p>
    <w:p>
      <w:pPr>
        <w:adjustRightInd w:val="0"/>
        <w:snapToGrid w:val="0"/>
        <w:spacing w:line="360" w:lineRule="auto"/>
        <w:rPr>
          <w:rFonts w:cs="宋体"/>
          <w:color w:val="auto"/>
          <w:sz w:val="28"/>
          <w:szCs w:val="28"/>
          <w:highlight w:val="none"/>
        </w:rPr>
      </w:pPr>
      <w:r>
        <w:rPr>
          <w:rFonts w:cs="宋体"/>
          <w:color w:val="auto"/>
          <w:sz w:val="28"/>
          <w:szCs w:val="28"/>
          <w:highlight w:val="none"/>
        </w:rPr>
        <w:t>（6）计算并宣布评标基准价；</w:t>
      </w:r>
    </w:p>
    <w:p>
      <w:pPr>
        <w:adjustRightInd w:val="0"/>
        <w:snapToGrid w:val="0"/>
        <w:spacing w:line="360" w:lineRule="auto"/>
        <w:rPr>
          <w:rFonts w:cs="宋体"/>
          <w:color w:val="auto"/>
          <w:sz w:val="28"/>
          <w:szCs w:val="28"/>
          <w:highlight w:val="none"/>
        </w:rPr>
      </w:pPr>
      <w:r>
        <w:rPr>
          <w:rFonts w:cs="宋体"/>
          <w:color w:val="auto"/>
          <w:sz w:val="28"/>
          <w:szCs w:val="28"/>
          <w:highlight w:val="none"/>
        </w:rPr>
        <w:t>（7）将未通过投标文件第一个信封（商务及技术文件）评审的投标文件第二个信封（报价文件）退还给投标人；</w:t>
      </w:r>
    </w:p>
    <w:p>
      <w:pPr>
        <w:adjustRightInd w:val="0"/>
        <w:snapToGrid w:val="0"/>
        <w:spacing w:line="360" w:lineRule="auto"/>
        <w:rPr>
          <w:rFonts w:cs="宋体"/>
          <w:color w:val="auto"/>
          <w:sz w:val="28"/>
          <w:szCs w:val="28"/>
          <w:highlight w:val="none"/>
        </w:rPr>
      </w:pPr>
      <w:r>
        <w:rPr>
          <w:rFonts w:cs="宋体"/>
          <w:color w:val="auto"/>
          <w:sz w:val="28"/>
          <w:szCs w:val="28"/>
          <w:highlight w:val="none"/>
        </w:rPr>
        <w:t>（8）投标人代表、招标人代表、记录人等有关人员在开标记录上签字确认；</w:t>
      </w:r>
    </w:p>
    <w:p>
      <w:pPr>
        <w:adjustRightInd w:val="0"/>
        <w:snapToGrid w:val="0"/>
        <w:spacing w:line="360" w:lineRule="auto"/>
        <w:rPr>
          <w:rFonts w:cs="宋体"/>
          <w:color w:val="auto"/>
          <w:sz w:val="28"/>
          <w:szCs w:val="28"/>
          <w:highlight w:val="none"/>
        </w:rPr>
      </w:pPr>
      <w:r>
        <w:rPr>
          <w:rFonts w:cs="宋体"/>
          <w:color w:val="auto"/>
          <w:sz w:val="28"/>
          <w:szCs w:val="28"/>
          <w:highlight w:val="none"/>
        </w:rPr>
        <w:t>（9）开标结束。</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2.4若采用合理低价法或综合评分法，在投标文件第二个信封（报价文件）开标现场，招标人将按第三章“评标办法”规定的原则计算并宣布评标基准价。若招标人发现投标文件出现以下任一情况，其投标报价将不再参加评标基准价的计算：</w:t>
      </w:r>
    </w:p>
    <w:p>
      <w:pPr>
        <w:adjustRightInd w:val="0"/>
        <w:snapToGrid w:val="0"/>
        <w:spacing w:line="360" w:lineRule="auto"/>
        <w:rPr>
          <w:rFonts w:cs="宋体"/>
          <w:color w:val="auto"/>
          <w:sz w:val="28"/>
          <w:szCs w:val="28"/>
          <w:highlight w:val="none"/>
        </w:rPr>
      </w:pPr>
      <w:r>
        <w:rPr>
          <w:rFonts w:cs="宋体"/>
          <w:color w:val="auto"/>
          <w:sz w:val="28"/>
          <w:szCs w:val="28"/>
          <w:highlight w:val="none"/>
        </w:rPr>
        <w:t>（1）未在投标函上填写投标总价；</w:t>
      </w:r>
    </w:p>
    <w:p>
      <w:pPr>
        <w:adjustRightInd w:val="0"/>
        <w:snapToGrid w:val="0"/>
        <w:spacing w:line="360" w:lineRule="auto"/>
        <w:rPr>
          <w:rFonts w:cs="宋体"/>
          <w:color w:val="auto"/>
          <w:sz w:val="28"/>
          <w:szCs w:val="28"/>
          <w:highlight w:val="none"/>
        </w:rPr>
      </w:pPr>
      <w:r>
        <w:rPr>
          <w:rFonts w:cs="宋体"/>
          <w:color w:val="auto"/>
          <w:sz w:val="28"/>
          <w:szCs w:val="28"/>
          <w:highlight w:val="none"/>
        </w:rPr>
        <w:t>（2）投标报价或调价函中的报价超出招标人公布的最高投标限价（如有）；</w:t>
      </w:r>
    </w:p>
    <w:p>
      <w:pPr>
        <w:adjustRightInd w:val="0"/>
        <w:snapToGrid w:val="0"/>
        <w:spacing w:line="360" w:lineRule="auto"/>
        <w:rPr>
          <w:rFonts w:cs="宋体"/>
          <w:color w:val="auto"/>
          <w:sz w:val="28"/>
          <w:szCs w:val="28"/>
          <w:highlight w:val="none"/>
        </w:rPr>
      </w:pPr>
      <w:r>
        <w:rPr>
          <w:rFonts w:cs="宋体"/>
          <w:color w:val="auto"/>
          <w:sz w:val="28"/>
          <w:szCs w:val="28"/>
          <w:highlight w:val="none"/>
        </w:rPr>
        <w:t>（3）投标报价或调价函中报价的大写金额无法确定具体数值；</w:t>
      </w:r>
    </w:p>
    <w:p>
      <w:pPr>
        <w:adjustRightInd w:val="0"/>
        <w:snapToGrid w:val="0"/>
        <w:spacing w:line="360" w:lineRule="auto"/>
        <w:rPr>
          <w:rFonts w:cs="宋体"/>
          <w:color w:val="auto"/>
          <w:sz w:val="28"/>
          <w:szCs w:val="28"/>
          <w:highlight w:val="none"/>
        </w:rPr>
      </w:pPr>
      <w:r>
        <w:rPr>
          <w:rFonts w:cs="宋体"/>
          <w:color w:val="auto"/>
          <w:sz w:val="28"/>
          <w:szCs w:val="28"/>
          <w:highlight w:val="none"/>
        </w:rPr>
        <w:t>（4）投标函上填写的标段号与投标文件封套上标记的标段号不一致。</w:t>
      </w:r>
    </w:p>
    <w:p>
      <w:pPr>
        <w:adjustRightInd w:val="0"/>
        <w:snapToGrid w:val="0"/>
        <w:spacing w:line="360" w:lineRule="auto"/>
        <w:rPr>
          <w:rFonts w:cs="宋体"/>
          <w:color w:val="auto"/>
          <w:sz w:val="28"/>
          <w:szCs w:val="28"/>
          <w:highlight w:val="none"/>
        </w:rPr>
      </w:pPr>
      <w:r>
        <w:rPr>
          <w:rFonts w:cs="宋体"/>
          <w:color w:val="auto"/>
          <w:sz w:val="28"/>
          <w:szCs w:val="28"/>
          <w:highlight w:val="none"/>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.2.5在投标文件第一个信封（商务及技术文件）或第二个信封（报价文件）开标过程中，若招标人宣读的内容与投标文件不符，投标人有权在开标现场提出疑问， 经招标人当场核查确认之后，可重新宣读其投标文件。若投标人现场未提出疑问，则认为投标人已确认招标人宣读的内容。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若采用单信封形式，第 5.2 款采用以下条款：</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w:t>
      </w:r>
      <w:r>
        <w:rPr>
          <w:rFonts w:hint="eastAsia" w:cs="宋体"/>
          <w:color w:val="auto"/>
          <w:sz w:val="28"/>
          <w:szCs w:val="28"/>
          <w:highlight w:val="none"/>
        </w:rPr>
        <w:t>开标程序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.2.1主持人按下列程序进行开标：</w:t>
      </w:r>
    </w:p>
    <w:p>
      <w:pPr>
        <w:adjustRightInd w:val="0"/>
        <w:snapToGrid w:val="0"/>
        <w:spacing w:line="360" w:lineRule="auto"/>
        <w:rPr>
          <w:rFonts w:cs="宋体"/>
          <w:color w:val="auto"/>
          <w:sz w:val="28"/>
          <w:szCs w:val="28"/>
          <w:highlight w:val="none"/>
        </w:rPr>
      </w:pPr>
      <w:r>
        <w:rPr>
          <w:rFonts w:cs="宋体"/>
          <w:color w:val="auto"/>
          <w:sz w:val="28"/>
          <w:szCs w:val="28"/>
          <w:highlight w:val="none"/>
        </w:rPr>
        <w:t>（1）宣布开标纪律；</w:t>
      </w:r>
    </w:p>
    <w:p>
      <w:pPr>
        <w:adjustRightInd w:val="0"/>
        <w:snapToGrid w:val="0"/>
        <w:spacing w:line="360" w:lineRule="auto"/>
        <w:rPr>
          <w:rFonts w:cs="宋体"/>
          <w:color w:val="auto"/>
          <w:sz w:val="28"/>
          <w:szCs w:val="28"/>
          <w:highlight w:val="none"/>
        </w:rPr>
      </w:pPr>
      <w:r>
        <w:rPr>
          <w:rFonts w:cs="宋体"/>
          <w:color w:val="auto"/>
          <w:sz w:val="28"/>
          <w:szCs w:val="28"/>
          <w:highlight w:val="none"/>
        </w:rPr>
        <w:t>（2）公布在投标截止时间前递交投标文件的投标人数量；</w:t>
      </w:r>
    </w:p>
    <w:p>
      <w:pPr>
        <w:adjustRightInd w:val="0"/>
        <w:snapToGrid w:val="0"/>
        <w:spacing w:line="360" w:lineRule="auto"/>
        <w:rPr>
          <w:rFonts w:cs="宋体"/>
          <w:color w:val="auto"/>
          <w:sz w:val="28"/>
          <w:szCs w:val="28"/>
          <w:highlight w:val="none"/>
        </w:rPr>
      </w:pPr>
      <w:r>
        <w:rPr>
          <w:rFonts w:cs="宋体"/>
          <w:color w:val="auto"/>
          <w:sz w:val="28"/>
          <w:szCs w:val="28"/>
          <w:highlight w:val="none"/>
        </w:rPr>
        <w:t>（3）宣布开标人、唱标人、记录人等有关人员姓名；</w:t>
      </w:r>
    </w:p>
    <w:p>
      <w:pPr>
        <w:adjustRightInd w:val="0"/>
        <w:snapToGrid w:val="0"/>
        <w:spacing w:line="360" w:lineRule="auto"/>
        <w:rPr>
          <w:rFonts w:cs="宋体"/>
          <w:color w:val="auto"/>
          <w:sz w:val="28"/>
          <w:szCs w:val="28"/>
          <w:highlight w:val="none"/>
        </w:rPr>
      </w:pPr>
      <w:r>
        <w:rPr>
          <w:rFonts w:cs="宋体"/>
          <w:color w:val="auto"/>
          <w:sz w:val="28"/>
          <w:szCs w:val="28"/>
          <w:highlight w:val="none"/>
        </w:rPr>
        <w:t>（4）按照投标人须知前附表规定由投标人推选的代表检查投标文件的密封情况；</w:t>
      </w:r>
    </w:p>
    <w:p>
      <w:pPr>
        <w:adjustRightInd w:val="0"/>
        <w:snapToGrid w:val="0"/>
        <w:spacing w:line="360" w:lineRule="auto"/>
        <w:rPr>
          <w:rFonts w:cs="宋体"/>
          <w:color w:val="auto"/>
          <w:sz w:val="28"/>
          <w:szCs w:val="28"/>
          <w:highlight w:val="none"/>
        </w:rPr>
      </w:pPr>
      <w:r>
        <w:rPr>
          <w:rFonts w:cs="宋体"/>
          <w:color w:val="auto"/>
          <w:sz w:val="28"/>
          <w:szCs w:val="28"/>
          <w:highlight w:val="none"/>
        </w:rPr>
        <w:t>（5）按照投标人须知前附表规定的开标顺序当众开标，公布标段名称、投标人名称、投标保证金的递交情况、投标报价</w:t>
      </w:r>
      <w:r>
        <w:rPr>
          <w:rFonts w:ascii="宋体" w:hAnsi="宋体" w:cs="宋体"/>
          <w:color w:val="auto"/>
          <w:sz w:val="28"/>
          <w:szCs w:val="28"/>
          <w:highlight w:val="none"/>
        </w:rPr>
        <w:t>①</w:t>
      </w:r>
      <w:r>
        <w:rPr>
          <w:rFonts w:cs="宋体"/>
          <w:color w:val="auto"/>
          <w:sz w:val="28"/>
          <w:szCs w:val="28"/>
          <w:highlight w:val="none"/>
        </w:rPr>
        <w:t>、工期及其他内容，并记录在案；</w:t>
      </w:r>
    </w:p>
    <w:p>
      <w:pPr>
        <w:adjustRightInd w:val="0"/>
        <w:snapToGrid w:val="0"/>
        <w:spacing w:line="360" w:lineRule="auto"/>
        <w:rPr>
          <w:rFonts w:cs="宋体"/>
          <w:color w:val="auto"/>
          <w:sz w:val="28"/>
          <w:szCs w:val="28"/>
          <w:highlight w:val="none"/>
        </w:rPr>
      </w:pPr>
      <w:r>
        <w:rPr>
          <w:rFonts w:cs="宋体"/>
          <w:color w:val="auto"/>
          <w:sz w:val="28"/>
          <w:szCs w:val="28"/>
          <w:highlight w:val="none"/>
        </w:rPr>
        <w:t>（6）计算并宣布评标基准价；</w:t>
      </w:r>
    </w:p>
    <w:p>
      <w:pPr>
        <w:adjustRightInd w:val="0"/>
        <w:snapToGrid w:val="0"/>
        <w:spacing w:line="360" w:lineRule="auto"/>
        <w:rPr>
          <w:rFonts w:cs="宋体"/>
          <w:color w:val="auto"/>
          <w:sz w:val="28"/>
          <w:szCs w:val="28"/>
          <w:highlight w:val="none"/>
        </w:rPr>
      </w:pPr>
      <w:r>
        <w:rPr>
          <w:rFonts w:cs="宋体"/>
          <w:color w:val="auto"/>
          <w:sz w:val="28"/>
          <w:szCs w:val="28"/>
          <w:highlight w:val="none"/>
        </w:rPr>
        <w:t>（7）投标人代表、招标人代表、记录人等有关人员在开标记录上签字确认；</w:t>
      </w:r>
    </w:p>
    <w:p>
      <w:pPr>
        <w:adjustRightInd w:val="0"/>
        <w:snapToGrid w:val="0"/>
        <w:spacing w:line="360" w:lineRule="auto"/>
        <w:rPr>
          <w:rFonts w:cs="宋体"/>
          <w:color w:val="auto"/>
          <w:sz w:val="28"/>
          <w:szCs w:val="28"/>
          <w:highlight w:val="none"/>
        </w:rPr>
      </w:pPr>
      <w:r>
        <w:rPr>
          <w:rFonts w:cs="宋体"/>
          <w:color w:val="auto"/>
          <w:sz w:val="28"/>
          <w:szCs w:val="28"/>
          <w:highlight w:val="none"/>
        </w:rPr>
        <w:t>（8）开标结束。</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.2.2若采用合理低价法或综合评分法，在开标现场，招标人将按第三章“评标办法”规定的原则计算并宣布评标基准价。若招标人发现投标文件出现以下任一情况， 其投标报价将不再参加评标基准价的计算：</w:t>
      </w:r>
    </w:p>
    <w:p>
      <w:pPr>
        <w:adjustRightInd w:val="0"/>
        <w:snapToGrid w:val="0"/>
        <w:spacing w:line="360" w:lineRule="auto"/>
        <w:rPr>
          <w:rFonts w:cs="宋体"/>
          <w:color w:val="auto"/>
          <w:sz w:val="28"/>
          <w:szCs w:val="28"/>
          <w:highlight w:val="none"/>
        </w:rPr>
      </w:pPr>
      <w:r>
        <w:rPr>
          <w:rFonts w:cs="宋体"/>
          <w:color w:val="auto"/>
          <w:sz w:val="28"/>
          <w:szCs w:val="28"/>
          <w:highlight w:val="none"/>
        </w:rPr>
        <w:t>（1）未在投标函上填写投标总价；</w:t>
      </w:r>
    </w:p>
    <w:p>
      <w:pPr>
        <w:adjustRightInd w:val="0"/>
        <w:snapToGrid w:val="0"/>
        <w:spacing w:line="360" w:lineRule="auto"/>
        <w:rPr>
          <w:rFonts w:cs="宋体"/>
          <w:color w:val="auto"/>
          <w:sz w:val="28"/>
          <w:szCs w:val="28"/>
          <w:highlight w:val="none"/>
        </w:rPr>
      </w:pPr>
      <w:r>
        <w:rPr>
          <w:rFonts w:cs="宋体"/>
          <w:color w:val="auto"/>
          <w:sz w:val="28"/>
          <w:szCs w:val="28"/>
          <w:highlight w:val="none"/>
        </w:rPr>
        <w:t>（2）投标报价或调价函中的报价超出招标人公布的最高投标限价（如有）；</w:t>
      </w:r>
    </w:p>
    <w:p>
      <w:pPr>
        <w:adjustRightInd w:val="0"/>
        <w:snapToGrid w:val="0"/>
        <w:spacing w:line="360" w:lineRule="auto"/>
        <w:rPr>
          <w:rFonts w:cs="宋体"/>
          <w:color w:val="auto"/>
          <w:sz w:val="28"/>
          <w:szCs w:val="28"/>
          <w:highlight w:val="none"/>
        </w:rPr>
      </w:pPr>
      <w:r>
        <w:rPr>
          <w:rFonts w:cs="宋体"/>
          <w:color w:val="auto"/>
          <w:sz w:val="28"/>
          <w:szCs w:val="28"/>
          <w:highlight w:val="none"/>
        </w:rPr>
        <w:t>（3）投标报价或调价函中报价的大写金额无法确定具体数值；</w:t>
      </w:r>
    </w:p>
    <w:p>
      <w:pPr>
        <w:adjustRightInd w:val="0"/>
        <w:snapToGrid w:val="0"/>
        <w:spacing w:line="360" w:lineRule="auto"/>
        <w:rPr>
          <w:rFonts w:cs="宋体"/>
          <w:color w:val="auto"/>
          <w:sz w:val="28"/>
          <w:szCs w:val="28"/>
          <w:highlight w:val="none"/>
        </w:rPr>
      </w:pPr>
      <w:r>
        <w:rPr>
          <w:rFonts w:cs="宋体"/>
          <w:color w:val="auto"/>
          <w:sz w:val="28"/>
          <w:szCs w:val="28"/>
          <w:highlight w:val="none"/>
        </w:rPr>
        <w:t>（4）投标函上填写的标段号与投标文件封套上标记的标段号不一致。</w:t>
      </w:r>
    </w:p>
    <w:p>
      <w:pPr>
        <w:adjustRightInd w:val="0"/>
        <w:snapToGrid w:val="0"/>
        <w:spacing w:line="360" w:lineRule="auto"/>
        <w:rPr>
          <w:rFonts w:cs="宋体"/>
          <w:color w:val="auto"/>
          <w:sz w:val="28"/>
          <w:szCs w:val="28"/>
          <w:highlight w:val="none"/>
        </w:rPr>
      </w:pPr>
      <w:r>
        <w:rPr>
          <w:rFonts w:cs="宋体"/>
          <w:color w:val="auto"/>
          <w:sz w:val="28"/>
          <w:szCs w:val="28"/>
          <w:highlight w:val="none"/>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w:t>
      </w:r>
      <w:r>
        <w:rPr>
          <w:rFonts w:cs="宋体"/>
          <w:color w:val="auto"/>
          <w:sz w:val="28"/>
          <w:szCs w:val="28"/>
          <w:highlight w:val="none"/>
        </w:rPr>
        <w:t>.2.3若招标人宣读的内容与投标文件不符，投标人有权在开标现场提出疑问， 经招标人当场核查确认之后，可重新宣读其投标文件。若投标人现场未提出疑问，则认为投标人已确认招标人宣读的内容。</w:t>
      </w:r>
    </w:p>
    <w:p>
      <w:pPr>
        <w:adjustRightInd w:val="0"/>
        <w:snapToGrid w:val="0"/>
        <w:spacing w:line="360" w:lineRule="auto"/>
        <w:rPr>
          <w:rFonts w:cs="宋体"/>
          <w:color w:val="auto"/>
          <w:sz w:val="28"/>
          <w:szCs w:val="28"/>
          <w:highlight w:val="none"/>
        </w:rPr>
      </w:pPr>
      <w:r>
        <w:rPr>
          <w:rFonts w:cs="宋体"/>
          <w:color w:val="auto"/>
          <w:sz w:val="28"/>
          <w:szCs w:val="28"/>
          <w:highlight w:val="none"/>
        </w:rPr>
        <w:t>5.3</w:t>
      </w:r>
      <w:r>
        <w:rPr>
          <w:rFonts w:hint="eastAsia" w:cs="宋体"/>
          <w:color w:val="auto"/>
          <w:sz w:val="28"/>
          <w:szCs w:val="28"/>
          <w:highlight w:val="none"/>
        </w:rPr>
        <w:t>开标异议</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投标人对开标有异议的，应在开标现场提出，招标人当场作出答复，并制作记录， 有异议的投标人代表、招标人代表、记录人等有关人员在记录上签字确认。</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6.评标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6.1 评标委员会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6.1.1</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6.1.2 评标委员会成员有下列情形之一的，应主动提出回避：</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（1）为负责招标项目监督管理的交通运输主管部门的工作人员；</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（2）与投标人法定代表人或其委托代理人有近亲属关系；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（3）为投标人的工作人员或退休人员；</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（4）与投标人有其他利害关系，可能影响评标活动公正性；</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（5）在与招标投标有关的活动中有过违法违规行为、曾受过行政处罚或刑事处罚。</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6.1.3 评标过程中，评标委员会成员有回避事由、擅离职守或因健康等原因不能继续评标的，招标人有权更换。被更换的评标委员会成员作出的评审结论无效，由更换后的评标委员会成员重新进行评审。</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6.2 评标原则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6.3 评标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w:t>
      </w:r>
      <w:r>
        <w:rPr>
          <w:rFonts w:cs="宋体"/>
          <w:color w:val="auto"/>
          <w:sz w:val="28"/>
          <w:szCs w:val="28"/>
          <w:highlight w:val="none"/>
        </w:rPr>
        <w:t>.3.1评标委员会按照第三章“评标办法”规定的方法、评审因素、标准和程序对投标文件进行评审。第三章“评标办法”没有规定的方法、评审因素和标准，不作为评标依据。</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w:t>
      </w:r>
      <w:r>
        <w:rPr>
          <w:rFonts w:cs="宋体"/>
          <w:color w:val="auto"/>
          <w:sz w:val="28"/>
          <w:szCs w:val="28"/>
          <w:highlight w:val="none"/>
        </w:rPr>
        <w:t>.3.2评标完成后，评标委员会应向招标人提交书面评标报告和中标候选人名单。评标委员会推荐中标候选人的人数见投标人须知前附表。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7.合同授予</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7.1 中标候选人公示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招标人在收到评标报告之日起 3 日内，按照投标人须知前附表规定的公示媒介和期限公示中标候选人，公示期不得少于 3 日，公示内容包括：</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（1）中标候选人排序、名称、投标报价，对工程质量要求、安全目标和工期的响应情况；</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（2）中标候选人在投标文件中承诺的项目经理和项目总工姓名、个人业绩、相关证书名称和编号；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（3）中标候选人在投标文件中填报的项目业绩；</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（4）被否决投标的投标人名称、否决依据和原因；</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（5）提出异议的渠道和方式；</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（6）投标人须知前附表规定公示的其他内容。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7.2 评标结果异议</w:t>
      </w:r>
    </w:p>
    <w:p>
      <w:pPr>
        <w:adjustRightInd w:val="0"/>
        <w:snapToGrid w:val="0"/>
        <w:spacing w:line="360" w:lineRule="auto"/>
        <w:rPr>
          <w:rFonts w:cs="宋体"/>
          <w:color w:val="auto"/>
          <w:sz w:val="28"/>
          <w:szCs w:val="28"/>
          <w:highlight w:val="none"/>
        </w:rPr>
      </w:pPr>
      <w:r>
        <w:rPr>
          <w:rFonts w:cs="宋体"/>
          <w:color w:val="auto"/>
          <w:sz w:val="28"/>
          <w:szCs w:val="28"/>
          <w:highlight w:val="none"/>
        </w:rPr>
        <w:t>投标人或其他利害关系人对依法必须进行招标的项目的评标结果有异议的，应在中标候选人公示期间提出。招标人将在收到异议之日起 3 日内作出答复；作出答复前， 将暂停招标投标活动。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7.3 中标候选人履约能力审查</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7.4 定标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按照投标人须知前附表的规定，招标人或招标人授权的评标委员会依法确定中标人。</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7.5 中标通知</w:t>
      </w:r>
    </w:p>
    <w:p>
      <w:pPr>
        <w:adjustRightInd w:val="0"/>
        <w:snapToGrid w:val="0"/>
        <w:spacing w:line="360" w:lineRule="auto"/>
        <w:rPr>
          <w:rFonts w:cs="宋体"/>
          <w:color w:val="auto"/>
          <w:sz w:val="28"/>
          <w:szCs w:val="28"/>
          <w:highlight w:val="none"/>
        </w:rPr>
      </w:pPr>
      <w:r>
        <w:rPr>
          <w:rFonts w:cs="宋体"/>
          <w:color w:val="auto"/>
          <w:sz w:val="28"/>
          <w:szCs w:val="28"/>
          <w:highlight w:val="none"/>
        </w:rPr>
        <w:t>在本章第 3.3 款规定的投标有效期内，招标人以投标人须知前附表规定的形式向中标人发出中标通知书。</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7.6 中标结果公告</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招标人在确定中标人之日起 3 日内，按照投标人须知前附表规定的公告媒介和期限公告中标结果，公告期不得少于3日。公告内容包括中标人名称、中标价。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7.7 履约保证金</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 10%。联合体中标的，其履约保证金以联合体各方或联合体中牵头人的名义提交。</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采用银行保函时，应由符合投标人须知前附表规定级别的银行开具，所需的费用由中标人承担，中标人应保证银行保函有效。</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7.7.2 中标人不能按本章第 7.7.1 项要求提交履约保证金的，视为放弃中标，其投标保证金不予退还，给招标人造成的损失超过投标保证金数额的，中标人还应对超过部分予以赔偿。</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 签订合同</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7.8.1 招标人和中标人应在中标通知书发出之日起 30 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7.8.2 发出中标通知书后，招标人无正当理由拒签合同，或在签订合同时向中标人提出附加条件的，招标人向中标人退还投标保证金；给中标人造成损失的，还应赔偿损失。</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7.8.3 签约合同价的确定原则如下：</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（1）按照评标办法规定对投标报价进行修正后，若修正后的最终投标报价小于开标时的投标函大写金额报价，则签订合同时以修正后的最终投标报价为准；</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（2）按照评标办法规定对投标报价进行修正后，若修正后的最终投标报价大于开标时的投标函大写金额报价，则签订合同时以开标时的投标函大写金额报价为准，同时按比例修正相应子目的单价或合价。</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7.8.4 联合体中标的，联合体各方应共同与招标人签订合同，就中标项目向招标人承担连带责任。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7.8.5 招标人和中标人在签订合同协议书的同时，须按照本招标文件规定的格式和要求签订廉政合同及安全生产合同，明确双方在廉政建设和安全生产方面的权利和义务以及应承担的违约责任。</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8.纪律和监督</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8.1 对招标人的纪律要求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招标人不得泄露招标投标活动中应保密的情况和资料，不得与投标人串通损害国家利益、社会公共利益或他人合法权益。</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8.2 对投标人的纪律要求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投标人不得相互串通投标或与招标人串通投标，不得向招标人或评标委员会成员行贿谋取中标，不得以他人名义投标或以其他方式弄虚作假骗取中标；投标人不得以任何方式干扰、影响评标工作。</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8.3 对评标委员会成员的纪律要求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8.4 对与评标活动有关的工作人员的纪律要求</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8.5 投诉</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8.5.1 投标人或其他利害关系人认为招标投标活动不符合法律、行政法规规定的，可以自知道或应当知道之日起 10 日内向有关行政监督部门投诉。投诉应有明确的请求和必要的证明材料。</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监督部门的联系方式见投标人须知前附表。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8.5.2 投标人或其他利害关系人对招标文件、开标和评标结果提出投诉的，应按照本章第 2.4 款、第 5.3 款和第 7.2 款的规定先向招标人提出异议。异议答复期间不计算在第 8.5.1 项规定的期限内。</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9.是否采用电子招标投标</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本招标项目是否采用电子招标投标方式，见投标人须知前附表。</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10.需要补充的其他内容</w:t>
      </w:r>
    </w:p>
    <w:p>
      <w:pPr>
        <w:adjustRightInd w:val="0"/>
        <w:snapToGrid w:val="0"/>
        <w:spacing w:line="360" w:lineRule="auto"/>
        <w:rPr>
          <w:rFonts w:cs="宋体"/>
          <w:color w:val="auto"/>
          <w:sz w:val="28"/>
          <w:szCs w:val="28"/>
          <w:highlight w:val="none"/>
        </w:rPr>
      </w:pPr>
      <w:r>
        <w:rPr>
          <w:rFonts w:hint="eastAsia" w:cs="宋体"/>
          <w:color w:val="auto"/>
          <w:sz w:val="28"/>
          <w:szCs w:val="28"/>
          <w:highlight w:val="none"/>
        </w:rPr>
        <w:t>10.1 自购买招标文件之日起，投标人应保证其提供的联系方式（电话、传真、电子邮件）一直有效，以便及时收到招标人发出的函件(招标文件的澄清、修改等)，并应及时向招标人反馈信息，否则招标人不承担由此引起的一切后果。</w:t>
      </w:r>
    </w:p>
    <w:p>
      <w:pPr>
        <w:adjustRightInd w:val="0"/>
        <w:snapToGrid w:val="0"/>
        <w:spacing w:before="2" w:line="360" w:lineRule="auto"/>
        <w:rPr>
          <w:rFonts w:cs="宋体"/>
          <w:color w:val="auto"/>
          <w:sz w:val="28"/>
          <w:szCs w:val="28"/>
          <w:highlight w:val="none"/>
        </w:rPr>
      </w:pPr>
      <w:r>
        <w:rPr>
          <w:rFonts w:hint="eastAsia" w:cs="宋体"/>
          <w:color w:val="auto"/>
          <w:sz w:val="28"/>
          <w:szCs w:val="28"/>
          <w:highlight w:val="none"/>
        </w:rPr>
        <w:t>需要补充的其他内容：见投标人须知前附表。</w:t>
      </w:r>
    </w:p>
    <w:p>
      <w:pPr>
        <w:widowControl/>
        <w:jc w:val="left"/>
        <w:rPr>
          <w:color w:val="auto"/>
          <w:sz w:val="48"/>
          <w:szCs w:val="48"/>
          <w:highlight w:val="none"/>
        </w:rPr>
      </w:pPr>
    </w:p>
    <w:p>
      <w:pPr>
        <w:pStyle w:val="4"/>
        <w:spacing w:before="120" w:beforeLines="50" w:after="120" w:afterLines="50" w:line="240" w:lineRule="auto"/>
        <w:jc w:val="center"/>
        <w:rPr>
          <w:b w:val="0"/>
          <w:bCs w:val="0"/>
          <w:color w:val="auto"/>
          <w:sz w:val="36"/>
          <w:szCs w:val="36"/>
          <w:highlight w:val="none"/>
        </w:rPr>
      </w:pPr>
      <w:bookmarkStart w:id="31" w:name="_Toc152042375"/>
      <w:bookmarkStart w:id="32" w:name="_Toc234675077"/>
      <w:bookmarkStart w:id="33" w:name="_Toc238559186"/>
      <w:bookmarkStart w:id="34" w:name="_Toc179632616"/>
      <w:bookmarkStart w:id="35" w:name="_Toc152045598"/>
      <w:bookmarkStart w:id="36" w:name="_Toc234744445"/>
      <w:bookmarkStart w:id="37" w:name="_Toc460366498"/>
      <w:bookmarkStart w:id="38" w:name="_Toc144974565"/>
      <w:bookmarkStart w:id="39" w:name="_Toc508615694"/>
      <w:bookmarkStart w:id="40" w:name="_Toc1776"/>
      <w:bookmarkStart w:id="41" w:name="_Toc20213"/>
      <w:bookmarkStart w:id="42" w:name="_Toc18877"/>
      <w:r>
        <w:rPr>
          <w:b w:val="0"/>
          <w:bCs w:val="0"/>
          <w:color w:val="auto"/>
          <w:sz w:val="36"/>
          <w:szCs w:val="36"/>
          <w:highlight w:val="none"/>
        </w:rPr>
        <w:t>第三章评标办法</w:t>
      </w:r>
      <w:bookmarkEnd w:id="31"/>
      <w:bookmarkEnd w:id="32"/>
      <w:bookmarkEnd w:id="33"/>
      <w:bookmarkEnd w:id="34"/>
      <w:bookmarkEnd w:id="35"/>
      <w:bookmarkEnd w:id="36"/>
      <w:bookmarkEnd w:id="37"/>
      <w:bookmarkEnd w:id="38"/>
      <w:r>
        <w:rPr>
          <w:rFonts w:hint="eastAsia"/>
          <w:b w:val="0"/>
          <w:bCs w:val="0"/>
          <w:color w:val="auto"/>
          <w:sz w:val="36"/>
          <w:szCs w:val="36"/>
          <w:highlight w:val="none"/>
        </w:rPr>
        <w:t>（技术评分最低标价法）</w:t>
      </w:r>
      <w:bookmarkEnd w:id="39"/>
      <w:bookmarkEnd w:id="40"/>
      <w:bookmarkEnd w:id="41"/>
      <w:bookmarkEnd w:id="42"/>
    </w:p>
    <w:p>
      <w:pPr>
        <w:pStyle w:val="148"/>
        <w:spacing w:before="36" w:after="120" w:afterLines="50"/>
        <w:ind w:left="-3" w:leftChars="-84" w:hanging="173" w:hangingChars="62"/>
        <w:rPr>
          <w:rFonts w:ascii="宋体" w:hAnsi="宋体" w:eastAsia="宋体"/>
          <w:color w:val="auto"/>
          <w:highlight w:val="none"/>
        </w:rPr>
      </w:pPr>
      <w:r>
        <w:rPr>
          <w:rFonts w:hint="eastAsia" w:ascii="宋体" w:hAnsi="宋体" w:eastAsia="宋体" w:cs="宋体"/>
          <w:color w:val="auto"/>
          <w:highlight w:val="none"/>
        </w:rPr>
        <w:t>评标办法前附表</w:t>
      </w:r>
    </w:p>
    <w:tbl>
      <w:tblPr>
        <w:tblStyle w:val="51"/>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444"/>
        <w:gridCol w:w="125"/>
        <w:gridCol w:w="565"/>
        <w:gridCol w:w="309"/>
        <w:gridCol w:w="826"/>
        <w:gridCol w:w="1169"/>
        <w:gridCol w:w="716"/>
        <w:gridCol w:w="4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gridSpan w:val="4"/>
            <w:vAlign w:val="center"/>
          </w:tcPr>
          <w:p>
            <w:pPr>
              <w:adjustRightInd w:val="0"/>
              <w:spacing w:line="440" w:lineRule="exact"/>
              <w:jc w:val="center"/>
              <w:textAlignment w:val="baseline"/>
              <w:rPr>
                <w:b/>
                <w:bCs/>
                <w:color w:val="auto"/>
                <w:highlight w:val="none"/>
              </w:rPr>
            </w:pPr>
            <w:r>
              <w:rPr>
                <w:rFonts w:hint="eastAsia" w:cs="宋体"/>
                <w:b/>
                <w:bCs/>
                <w:color w:val="auto"/>
                <w:highlight w:val="none"/>
              </w:rPr>
              <w:t>条款号</w:t>
            </w:r>
          </w:p>
        </w:tc>
        <w:tc>
          <w:tcPr>
            <w:tcW w:w="7088" w:type="dxa"/>
            <w:gridSpan w:val="5"/>
            <w:vAlign w:val="center"/>
          </w:tcPr>
          <w:p>
            <w:pPr>
              <w:adjustRightInd w:val="0"/>
              <w:spacing w:line="440" w:lineRule="exact"/>
              <w:jc w:val="center"/>
              <w:textAlignment w:val="baseline"/>
              <w:rPr>
                <w:b/>
                <w:bCs/>
                <w:color w:val="auto"/>
                <w:highlight w:val="none"/>
              </w:rPr>
            </w:pPr>
            <w:r>
              <w:rPr>
                <w:rFonts w:hint="eastAsia" w:cs="宋体"/>
                <w:b/>
                <w:bCs/>
                <w:color w:val="auto"/>
                <w:highlight w:val="none"/>
              </w:rPr>
              <w:t>评审因素和评审标准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vAlign w:val="center"/>
          </w:tcPr>
          <w:p>
            <w:pPr>
              <w:jc w:val="center"/>
              <w:rPr>
                <w:color w:val="auto"/>
                <w:highlight w:val="none"/>
              </w:rPr>
            </w:pPr>
            <w:r>
              <w:rPr>
                <w:color w:val="auto"/>
                <w:highlight w:val="none"/>
              </w:rPr>
              <w:t>1</w:t>
            </w:r>
          </w:p>
        </w:tc>
        <w:tc>
          <w:tcPr>
            <w:tcW w:w="1134" w:type="dxa"/>
            <w:gridSpan w:val="3"/>
            <w:vAlign w:val="center"/>
          </w:tcPr>
          <w:p>
            <w:pPr>
              <w:jc w:val="center"/>
              <w:rPr>
                <w:color w:val="auto"/>
                <w:highlight w:val="none"/>
              </w:rPr>
            </w:pPr>
            <w:r>
              <w:rPr>
                <w:rFonts w:hint="eastAsia" w:cs="宋体"/>
                <w:color w:val="auto"/>
                <w:highlight w:val="none"/>
              </w:rPr>
              <w:t>评标方法</w:t>
            </w:r>
          </w:p>
        </w:tc>
        <w:tc>
          <w:tcPr>
            <w:tcW w:w="7088" w:type="dxa"/>
            <w:gridSpan w:val="5"/>
          </w:tcPr>
          <w:p>
            <w:pPr>
              <w:adjustRightInd w:val="0"/>
              <w:spacing w:line="300" w:lineRule="auto"/>
              <w:textAlignment w:val="baseline"/>
              <w:rPr>
                <w:rFonts w:ascii="宋体" w:hAnsi="宋体"/>
                <w:color w:val="auto"/>
                <w:sz w:val="18"/>
                <w:highlight w:val="none"/>
                <w:lang w:val="zh-CN"/>
              </w:rPr>
            </w:pPr>
            <w:r>
              <w:rPr>
                <w:rFonts w:hint="eastAsia" w:ascii="宋体" w:hAnsi="宋体"/>
                <w:color w:val="auto"/>
                <w:sz w:val="18"/>
                <w:highlight w:val="none"/>
                <w:lang w:val="zh-CN"/>
              </w:rPr>
              <w:t>评标价相等时，评标委员会依次按照以下优先顺序推荐中标候选人或确定中标人：</w:t>
            </w:r>
          </w:p>
          <w:p>
            <w:pPr>
              <w:adjustRightInd w:val="0"/>
              <w:spacing w:line="300" w:lineRule="auto"/>
              <w:textAlignment w:val="baseline"/>
              <w:rPr>
                <w:rFonts w:ascii="宋体" w:hAnsi="宋体"/>
                <w:color w:val="auto"/>
                <w:sz w:val="18"/>
                <w:highlight w:val="none"/>
                <w:lang w:val="zh-CN"/>
              </w:rPr>
            </w:pPr>
            <w:r>
              <w:rPr>
                <w:rFonts w:hint="eastAsia" w:ascii="宋体" w:hAnsi="宋体"/>
                <w:color w:val="auto"/>
                <w:sz w:val="18"/>
                <w:highlight w:val="none"/>
                <w:lang w:val="zh-CN"/>
              </w:rPr>
              <w:t>（</w:t>
            </w:r>
            <w:r>
              <w:rPr>
                <w:rFonts w:hint="eastAsia" w:ascii="宋体" w:hAnsi="宋体"/>
                <w:color w:val="auto"/>
                <w:sz w:val="18"/>
                <w:highlight w:val="none"/>
              </w:rPr>
              <w:t>1</w:t>
            </w:r>
            <w:r>
              <w:rPr>
                <w:rFonts w:hint="eastAsia" w:ascii="宋体" w:hAnsi="宋体"/>
                <w:color w:val="auto"/>
                <w:sz w:val="18"/>
                <w:highlight w:val="none"/>
                <w:lang w:val="zh-CN"/>
              </w:rPr>
              <w:t>）商务和技术得分较高的投标人优先。</w:t>
            </w:r>
          </w:p>
          <w:p>
            <w:pPr>
              <w:adjustRightInd w:val="0"/>
              <w:spacing w:line="300" w:lineRule="auto"/>
              <w:textAlignment w:val="baseline"/>
              <w:rPr>
                <w:rFonts w:ascii="宋体" w:hAnsi="宋体"/>
                <w:color w:val="auto"/>
                <w:sz w:val="18"/>
                <w:highlight w:val="none"/>
              </w:rPr>
            </w:pPr>
            <w:r>
              <w:rPr>
                <w:rFonts w:hint="eastAsia" w:ascii="宋体" w:hAnsi="宋体"/>
                <w:color w:val="auto"/>
                <w:sz w:val="18"/>
                <w:highlight w:val="none"/>
                <w:lang w:val="zh-CN"/>
              </w:rPr>
              <w:t>（</w:t>
            </w:r>
            <w:r>
              <w:rPr>
                <w:rFonts w:hint="eastAsia" w:ascii="宋体" w:hAnsi="宋体"/>
                <w:color w:val="auto"/>
                <w:sz w:val="18"/>
                <w:highlight w:val="none"/>
              </w:rPr>
              <w:t>2</w:t>
            </w:r>
            <w:r>
              <w:rPr>
                <w:rFonts w:hint="eastAsia" w:ascii="宋体" w:hAnsi="宋体"/>
                <w:color w:val="auto"/>
                <w:sz w:val="18"/>
                <w:highlight w:val="none"/>
                <w:lang w:val="zh-CN"/>
              </w:rPr>
              <w:t>）</w:t>
            </w:r>
            <w:r>
              <w:rPr>
                <w:rFonts w:hint="eastAsia" w:ascii="宋体" w:hAnsi="宋体"/>
                <w:color w:val="auto"/>
                <w:sz w:val="18"/>
                <w:highlight w:val="none"/>
                <w:lang w:val="en-US" w:eastAsia="zh-CN"/>
              </w:rPr>
              <w:t>项目经理</w:t>
            </w:r>
            <w:r>
              <w:rPr>
                <w:rFonts w:hint="eastAsia" w:ascii="宋体" w:hAnsi="宋体"/>
                <w:color w:val="auto"/>
                <w:sz w:val="18"/>
                <w:highlight w:val="none"/>
              </w:rPr>
              <w:t>得分较高者优先。</w:t>
            </w:r>
          </w:p>
          <w:p>
            <w:pPr>
              <w:adjustRightInd w:val="0"/>
              <w:spacing w:line="300" w:lineRule="auto"/>
              <w:textAlignment w:val="baseline"/>
              <w:rPr>
                <w:b/>
                <w:bCs/>
                <w:color w:val="auto"/>
                <w:highlight w:val="none"/>
              </w:rPr>
            </w:pPr>
            <w:r>
              <w:rPr>
                <w:rFonts w:hint="eastAsia" w:ascii="宋体" w:hAnsi="宋体"/>
                <w:color w:val="auto"/>
                <w:sz w:val="18"/>
                <w:highlight w:val="none"/>
                <w:lang w:val="zh-CN"/>
              </w:rPr>
              <w:t>（</w:t>
            </w:r>
            <w:r>
              <w:rPr>
                <w:rFonts w:hint="eastAsia" w:ascii="宋体" w:hAnsi="宋体"/>
                <w:color w:val="auto"/>
                <w:sz w:val="18"/>
                <w:highlight w:val="none"/>
              </w:rPr>
              <w:t>3</w:t>
            </w:r>
            <w:r>
              <w:rPr>
                <w:rFonts w:hint="eastAsia" w:ascii="宋体" w:hAnsi="宋体"/>
                <w:color w:val="auto"/>
                <w:sz w:val="18"/>
                <w:highlight w:val="none"/>
                <w:lang w:val="zh-CN"/>
              </w:rPr>
              <w:t>）由评标委员会投票决定。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vMerge w:val="restart"/>
            <w:vAlign w:val="center"/>
          </w:tcPr>
          <w:p>
            <w:pPr>
              <w:adjustRightInd w:val="0"/>
              <w:spacing w:line="320" w:lineRule="exact"/>
              <w:jc w:val="center"/>
              <w:textAlignment w:val="baseline"/>
              <w:rPr>
                <w:color w:val="auto"/>
                <w:highlight w:val="none"/>
              </w:rPr>
            </w:pPr>
            <w:r>
              <w:rPr>
                <w:color w:val="auto"/>
                <w:highlight w:val="none"/>
              </w:rPr>
              <w:t>2.1.1</w:t>
            </w:r>
          </w:p>
          <w:p>
            <w:pPr>
              <w:adjustRightInd w:val="0"/>
              <w:spacing w:line="320" w:lineRule="exact"/>
              <w:jc w:val="center"/>
              <w:textAlignment w:val="baseline"/>
              <w:rPr>
                <w:color w:val="auto"/>
                <w:highlight w:val="none"/>
              </w:rPr>
            </w:pPr>
            <w:r>
              <w:rPr>
                <w:color w:val="auto"/>
                <w:highlight w:val="none"/>
              </w:rPr>
              <w:t>2.1.3</w:t>
            </w:r>
          </w:p>
        </w:tc>
        <w:tc>
          <w:tcPr>
            <w:tcW w:w="1134" w:type="dxa"/>
            <w:gridSpan w:val="3"/>
            <w:vAlign w:val="center"/>
          </w:tcPr>
          <w:p>
            <w:pPr>
              <w:adjustRightInd w:val="0"/>
              <w:spacing w:line="320" w:lineRule="exact"/>
              <w:jc w:val="center"/>
              <w:textAlignment w:val="baseline"/>
              <w:rPr>
                <w:color w:val="auto"/>
                <w:highlight w:val="none"/>
              </w:rPr>
            </w:pPr>
            <w:r>
              <w:rPr>
                <w:rFonts w:hint="eastAsia" w:ascii="宋体" w:hAnsi="宋体" w:cs="宋体"/>
                <w:b/>
                <w:bCs/>
                <w:color w:val="auto"/>
                <w:highlight w:val="none"/>
              </w:rPr>
              <w:t>投标文件第一个信封</w:t>
            </w:r>
            <w:r>
              <w:rPr>
                <w:rFonts w:hint="eastAsia" w:ascii="宋体" w:hAnsi="宋体" w:cs="宋体"/>
                <w:color w:val="auto"/>
                <w:highlight w:val="none"/>
              </w:rPr>
              <w:t>的形式评审与响应性评审标准</w:t>
            </w:r>
          </w:p>
        </w:tc>
        <w:tc>
          <w:tcPr>
            <w:tcW w:w="7088" w:type="dxa"/>
            <w:gridSpan w:val="5"/>
          </w:tcPr>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1</w:t>
            </w:r>
            <w:r>
              <w:rPr>
                <w:rFonts w:hint="eastAsia" w:ascii="黑体" w:hAnsi="宋体" w:eastAsia="黑体" w:cs="黑体"/>
                <w:b/>
                <w:bCs/>
                <w:color w:val="auto"/>
                <w:highlight w:val="none"/>
              </w:rPr>
              <w:t>）投标文件按照招标文件规定的格式、内容填写，字迹清晰可辨：</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a</w:t>
            </w:r>
            <w:r>
              <w:rPr>
                <w:rFonts w:hint="eastAsia" w:ascii="黑体" w:hAnsi="宋体" w:eastAsia="黑体" w:cs="黑体"/>
                <w:b/>
                <w:bCs/>
                <w:color w:val="auto"/>
                <w:highlight w:val="none"/>
              </w:rPr>
              <w:t>、投标函按招标文件规定填报了项目名称、标段号、补遗书编号（如有）、工期、工程质量要求及安全目标；</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b</w:t>
            </w:r>
            <w:r>
              <w:rPr>
                <w:rFonts w:hint="eastAsia" w:ascii="黑体" w:hAnsi="宋体" w:eastAsia="黑体" w:cs="黑体"/>
                <w:b/>
                <w:bCs/>
                <w:color w:val="auto"/>
                <w:highlight w:val="none"/>
              </w:rPr>
              <w:t>、投标文件组成齐全完整，内容均按规定填写。</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2</w:t>
            </w:r>
            <w:r>
              <w:rPr>
                <w:rFonts w:hint="eastAsia" w:ascii="黑体" w:hAnsi="宋体" w:eastAsia="黑体" w:cs="黑体"/>
                <w:b/>
                <w:bCs/>
                <w:color w:val="auto"/>
                <w:highlight w:val="none"/>
              </w:rPr>
              <w:t>）投标文件上法定代表人或其授权代理人的签字或签章、投标人的单位章盖章齐全，符合招标文件规定。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3</w:t>
            </w:r>
            <w:r>
              <w:rPr>
                <w:rFonts w:hint="eastAsia" w:ascii="黑体" w:hAnsi="宋体" w:eastAsia="黑体" w:cs="黑体"/>
                <w:b/>
                <w:bCs/>
                <w:color w:val="auto"/>
                <w:highlight w:val="none"/>
              </w:rPr>
              <w:t>）投标人按照招标文件规定的金额、形式、时效和内容提供了投标担保：</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a</w:t>
            </w:r>
            <w:r>
              <w:rPr>
                <w:rFonts w:hint="eastAsia" w:ascii="黑体" w:hAnsi="宋体" w:eastAsia="黑体" w:cs="黑体"/>
                <w:b/>
                <w:bCs/>
                <w:color w:val="auto"/>
                <w:highlight w:val="none"/>
              </w:rPr>
              <w:t>、投标担保金额符合招标文件规定的金额，且投标保证金有效期不少于投标有效期；</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b</w:t>
            </w:r>
            <w:r>
              <w:rPr>
                <w:rFonts w:hint="eastAsia" w:ascii="黑体" w:hAnsi="宋体" w:eastAsia="黑体" w:cs="黑体"/>
                <w:b/>
                <w:bCs/>
                <w:color w:val="auto"/>
                <w:highlight w:val="none"/>
              </w:rPr>
              <w:t>、若投标保证金采用电汇或汇票、本票形式提交，投标人应在投标截止时间之前，将投标保证金由投标人的</w:t>
            </w:r>
            <w:r>
              <w:rPr>
                <w:rFonts w:hint="eastAsia" w:ascii="黑体" w:hAnsi="宋体" w:eastAsia="黑体" w:cs="黑体"/>
                <w:b/>
                <w:bCs/>
                <w:color w:val="auto"/>
                <w:sz w:val="24"/>
                <w:szCs w:val="24"/>
                <w:highlight w:val="none"/>
              </w:rPr>
              <w:t>基本账户</w:t>
            </w:r>
            <w:r>
              <w:rPr>
                <w:rFonts w:hint="eastAsia" w:ascii="黑体" w:hAnsi="宋体" w:eastAsia="黑体" w:cs="黑体"/>
                <w:b/>
                <w:bCs/>
                <w:color w:val="auto"/>
                <w:highlight w:val="none"/>
              </w:rPr>
              <w:t>一次性汇入招标人指定账户，或在投标现场以本票（仅限南通同城）或汇票提交给招标人（汇票或本票应由投标人的</w:t>
            </w:r>
            <w:r>
              <w:rPr>
                <w:rFonts w:hint="eastAsia" w:ascii="黑体" w:hAnsi="宋体" w:eastAsia="黑体" w:cs="黑体"/>
                <w:b/>
                <w:bCs/>
                <w:color w:val="auto"/>
                <w:sz w:val="24"/>
                <w:szCs w:val="24"/>
                <w:highlight w:val="none"/>
              </w:rPr>
              <w:t>基本账户</w:t>
            </w:r>
            <w:r>
              <w:rPr>
                <w:rFonts w:hint="eastAsia" w:ascii="黑体" w:hAnsi="宋体" w:eastAsia="黑体" w:cs="黑体"/>
                <w:b/>
                <w:bCs/>
                <w:color w:val="auto"/>
                <w:highlight w:val="none"/>
              </w:rPr>
              <w:t>开出）；</w:t>
            </w:r>
          </w:p>
          <w:p>
            <w:pPr>
              <w:adjustRightInd w:val="0"/>
              <w:spacing w:line="300" w:lineRule="auto"/>
              <w:ind w:firstLine="103" w:firstLineChars="49"/>
              <w:textAlignment w:val="baseline"/>
              <w:rPr>
                <w:rFonts w:ascii="黑体" w:hAnsi="宋体" w:eastAsia="黑体"/>
                <w:b/>
                <w:bCs/>
                <w:color w:val="auto"/>
                <w:highlight w:val="none"/>
                <w:lang w:val="en-GB"/>
              </w:rPr>
            </w:pPr>
            <w:r>
              <w:rPr>
                <w:rFonts w:ascii="黑体" w:hAnsi="宋体" w:eastAsia="黑体" w:cs="黑体"/>
                <w:b/>
                <w:bCs/>
                <w:color w:val="auto"/>
                <w:highlight w:val="none"/>
                <w:lang w:val="en-GB"/>
              </w:rPr>
              <w:t>c</w:t>
            </w:r>
            <w:r>
              <w:rPr>
                <w:rFonts w:hint="eastAsia" w:ascii="黑体" w:hAnsi="宋体" w:eastAsia="黑体" w:cs="黑体"/>
                <w:b/>
                <w:bCs/>
                <w:color w:val="auto"/>
                <w:highlight w:val="none"/>
                <w:lang w:val="en-GB"/>
              </w:rPr>
              <w:t>、若投标保证金采用银行保函形式提交，银行保函的格式、开具保函的银行均满足招标文件要求，且在递交投标文件截止时间之前向招标人提交了银行保函原件。</w:t>
            </w:r>
          </w:p>
          <w:p>
            <w:pPr>
              <w:adjustRightInd w:val="0"/>
              <w:spacing w:line="264" w:lineRule="auto"/>
              <w:textAlignment w:val="baseline"/>
              <w:rPr>
                <w:rFonts w:ascii="黑体" w:hAnsi="宋体" w:eastAsia="黑体" w:cs="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4</w:t>
            </w:r>
            <w:r>
              <w:rPr>
                <w:rFonts w:hint="eastAsia" w:ascii="黑体" w:hAnsi="宋体" w:eastAsia="黑体" w:cs="黑体"/>
                <w:b/>
                <w:bCs/>
                <w:color w:val="auto"/>
                <w:highlight w:val="none"/>
              </w:rPr>
              <w:t>）投标人法定代表人授权委托代理人签署投标文件的，须提交授权委托书，且授权人和被授权人均在授权委托书上签名或签章，并符合招标文件要求。</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5</w:t>
            </w:r>
            <w:r>
              <w:rPr>
                <w:rFonts w:hint="eastAsia" w:ascii="黑体" w:hAnsi="宋体" w:eastAsia="黑体" w:cs="黑体"/>
                <w:b/>
                <w:bCs/>
                <w:color w:val="auto"/>
                <w:highlight w:val="none"/>
              </w:rPr>
              <w:t>）投标人法定代表人亲自签署投标文件的，提供了法定代表人身份证明，且法定代表人在法定代表人身份证明上签名或签章，并符合招标文件要求。（</w:t>
            </w:r>
            <w:r>
              <w:rPr>
                <w:rFonts w:ascii="黑体" w:hAnsi="宋体" w:eastAsia="黑体" w:cs="黑体"/>
                <w:b/>
                <w:bCs/>
                <w:color w:val="auto"/>
                <w:highlight w:val="none"/>
              </w:rPr>
              <w:t>6</w:t>
            </w:r>
            <w:r>
              <w:rPr>
                <w:rFonts w:hint="eastAsia" w:ascii="黑体" w:hAnsi="宋体" w:eastAsia="黑体" w:cs="黑体"/>
                <w:b/>
                <w:bCs/>
                <w:color w:val="auto"/>
                <w:highlight w:val="none"/>
              </w:rPr>
              <w:t>）投标人未以联合体形式参与投标，且无分包计划。</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7</w:t>
            </w:r>
            <w:r>
              <w:rPr>
                <w:rFonts w:hint="eastAsia" w:ascii="黑体" w:hAnsi="宋体" w:eastAsia="黑体" w:cs="黑体"/>
                <w:b/>
                <w:bCs/>
                <w:color w:val="auto"/>
                <w:highlight w:val="none"/>
              </w:rPr>
              <w:t>）同一投标人未提交两个以上不同的投标文件，但招标文件要求提交备选投标的除外。</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8</w:t>
            </w:r>
            <w:r>
              <w:rPr>
                <w:rFonts w:hint="eastAsia" w:ascii="黑体" w:hAnsi="宋体" w:eastAsia="黑体" w:cs="黑体"/>
                <w:b/>
                <w:bCs/>
                <w:color w:val="auto"/>
                <w:highlight w:val="none"/>
              </w:rPr>
              <w:t>）投标文件中未出现有关投标报价的内容。</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9</w:t>
            </w:r>
            <w:r>
              <w:rPr>
                <w:rFonts w:hint="eastAsia" w:ascii="黑体" w:hAnsi="宋体" w:eastAsia="黑体" w:cs="黑体"/>
                <w:b/>
                <w:bCs/>
                <w:color w:val="auto"/>
                <w:highlight w:val="none"/>
              </w:rPr>
              <w:t>）投标文件载明的招标项目完成期限未超过招标文件规定的时限。</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10</w:t>
            </w:r>
            <w:r>
              <w:rPr>
                <w:rFonts w:hint="eastAsia" w:ascii="黑体" w:hAnsi="宋体" w:eastAsia="黑体" w:cs="黑体"/>
                <w:b/>
                <w:bCs/>
                <w:color w:val="auto"/>
                <w:highlight w:val="none"/>
              </w:rPr>
              <w:t>）投标文件对招标文件的实质性要求和条件作出响应。</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11</w:t>
            </w:r>
            <w:r>
              <w:rPr>
                <w:rFonts w:hint="eastAsia" w:ascii="黑体" w:hAnsi="宋体" w:eastAsia="黑体" w:cs="黑体"/>
                <w:b/>
                <w:bCs/>
                <w:color w:val="auto"/>
                <w:highlight w:val="none"/>
              </w:rPr>
              <w:t>）权利义务符合招标文件规定：</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a.</w:t>
            </w:r>
            <w:r>
              <w:rPr>
                <w:rFonts w:hint="eastAsia" w:ascii="黑体" w:hAnsi="宋体" w:eastAsia="黑体" w:cs="黑体"/>
                <w:b/>
                <w:bCs/>
                <w:color w:val="auto"/>
                <w:highlight w:val="none"/>
              </w:rPr>
              <w:t>投标人应接受招标文件规定的风险划分原则，未提出新的风险划分办法；</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b.</w:t>
            </w:r>
            <w:r>
              <w:rPr>
                <w:rFonts w:hint="eastAsia" w:ascii="黑体" w:hAnsi="宋体" w:eastAsia="黑体" w:cs="黑体"/>
                <w:b/>
                <w:bCs/>
                <w:color w:val="auto"/>
                <w:highlight w:val="none"/>
              </w:rPr>
              <w:t>投标人未增加发包人的责任范围，或减少投标人义务；</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c.</w:t>
            </w:r>
            <w:r>
              <w:rPr>
                <w:rFonts w:hint="eastAsia" w:ascii="黑体" w:hAnsi="宋体" w:eastAsia="黑体" w:cs="黑体"/>
                <w:b/>
                <w:bCs/>
                <w:color w:val="auto"/>
                <w:highlight w:val="none"/>
              </w:rPr>
              <w:t>投标人未提出不同的工程验收、计量、支付办法；</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d.</w:t>
            </w:r>
            <w:r>
              <w:rPr>
                <w:rFonts w:hint="eastAsia" w:ascii="黑体" w:hAnsi="宋体" w:eastAsia="黑体" w:cs="黑体"/>
                <w:b/>
                <w:bCs/>
                <w:color w:val="auto"/>
                <w:highlight w:val="none"/>
              </w:rPr>
              <w:t>投标人对合同纠纷、事故处理办法未提出异议；</w:t>
            </w:r>
          </w:p>
          <w:p>
            <w:pPr>
              <w:adjustRightInd w:val="0"/>
              <w:spacing w:line="264" w:lineRule="auto"/>
              <w:textAlignment w:val="baseline"/>
              <w:rPr>
                <w:rFonts w:ascii="黑体" w:hAnsi="宋体" w:eastAsia="黑体"/>
                <w:b/>
                <w:bCs/>
                <w:color w:val="auto"/>
                <w:highlight w:val="none"/>
              </w:rPr>
            </w:pPr>
            <w:r>
              <w:rPr>
                <w:rFonts w:ascii="黑体" w:hAnsi="宋体" w:eastAsia="黑体" w:cs="黑体"/>
                <w:b/>
                <w:bCs/>
                <w:color w:val="auto"/>
                <w:highlight w:val="none"/>
              </w:rPr>
              <w:t>e.</w:t>
            </w:r>
            <w:r>
              <w:rPr>
                <w:rFonts w:hint="eastAsia" w:ascii="黑体" w:hAnsi="宋体" w:eastAsia="黑体" w:cs="黑体"/>
                <w:b/>
                <w:bCs/>
                <w:color w:val="auto"/>
                <w:highlight w:val="none"/>
              </w:rPr>
              <w:t>投标人在投标活动中无欺诈行为；</w:t>
            </w:r>
          </w:p>
          <w:p>
            <w:pPr>
              <w:adjustRightInd w:val="0"/>
              <w:spacing w:line="264" w:lineRule="auto"/>
              <w:textAlignment w:val="baseline"/>
              <w:rPr>
                <w:color w:val="auto"/>
                <w:highlight w:val="none"/>
              </w:rPr>
            </w:pPr>
            <w:r>
              <w:rPr>
                <w:rFonts w:ascii="黑体" w:hAnsi="宋体" w:eastAsia="黑体" w:cs="黑体"/>
                <w:b/>
                <w:bCs/>
                <w:color w:val="auto"/>
                <w:highlight w:val="none"/>
              </w:rPr>
              <w:t>f.</w:t>
            </w:r>
            <w:r>
              <w:rPr>
                <w:rFonts w:hint="eastAsia" w:ascii="黑体" w:hAnsi="宋体" w:eastAsia="黑体" w:cs="黑体"/>
                <w:b/>
                <w:bCs/>
                <w:color w:val="auto"/>
                <w:highlight w:val="none"/>
              </w:rPr>
              <w:t>投标人未对合同条款有重要保留。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vMerge w:val="continue"/>
            <w:vAlign w:val="center"/>
          </w:tcPr>
          <w:p>
            <w:pPr>
              <w:adjustRightInd w:val="0"/>
              <w:spacing w:line="320" w:lineRule="exact"/>
              <w:jc w:val="center"/>
              <w:textAlignment w:val="baseline"/>
              <w:rPr>
                <w:color w:val="auto"/>
                <w:highlight w:val="none"/>
              </w:rPr>
            </w:pPr>
          </w:p>
        </w:tc>
        <w:tc>
          <w:tcPr>
            <w:tcW w:w="1134" w:type="dxa"/>
            <w:gridSpan w:val="3"/>
            <w:vAlign w:val="center"/>
          </w:tcPr>
          <w:p>
            <w:pPr>
              <w:spacing w:line="240" w:lineRule="exact"/>
              <w:jc w:val="center"/>
              <w:rPr>
                <w:rFonts w:ascii="宋体"/>
                <w:b/>
                <w:bCs/>
                <w:color w:val="auto"/>
                <w:highlight w:val="none"/>
              </w:rPr>
            </w:pPr>
            <w:r>
              <w:rPr>
                <w:rFonts w:hint="eastAsia" w:ascii="宋体" w:hAnsi="宋体" w:cs="宋体"/>
                <w:b/>
                <w:bCs/>
                <w:color w:val="auto"/>
                <w:highlight w:val="none"/>
              </w:rPr>
              <w:t>投标文件第二个信封的形式评审与响应性评审标准</w:t>
            </w:r>
          </w:p>
        </w:tc>
        <w:tc>
          <w:tcPr>
            <w:tcW w:w="7088" w:type="dxa"/>
            <w:gridSpan w:val="5"/>
            <w:vAlign w:val="center"/>
          </w:tcPr>
          <w:p>
            <w:pPr>
              <w:adjustRightInd w:val="0"/>
              <w:spacing w:line="264" w:lineRule="auto"/>
              <w:textAlignment w:val="baseline"/>
              <w:rPr>
                <w:rFonts w:ascii="黑体" w:hAnsi="宋体" w:eastAsia="黑体" w:cs="黑体"/>
                <w:b/>
                <w:bCs/>
                <w:color w:val="auto"/>
                <w:highlight w:val="none"/>
              </w:rPr>
            </w:pPr>
            <w:r>
              <w:rPr>
                <w:rFonts w:ascii="黑体" w:hAnsi="宋体" w:eastAsia="黑体" w:cs="黑体"/>
                <w:b/>
                <w:bCs/>
                <w:color w:val="auto"/>
                <w:highlight w:val="none"/>
              </w:rPr>
              <w:t>(1)</w:t>
            </w:r>
            <w:r>
              <w:rPr>
                <w:rFonts w:hint="eastAsia" w:ascii="黑体" w:hAnsi="宋体" w:eastAsia="黑体" w:cs="黑体"/>
                <w:b/>
                <w:bCs/>
                <w:color w:val="auto"/>
                <w:highlight w:val="none"/>
              </w:rPr>
              <w:t>投标文件按照招标文件规定的格式、内容填写，字迹清晰可辨：</w:t>
            </w:r>
          </w:p>
          <w:p>
            <w:pPr>
              <w:adjustRightInd w:val="0"/>
              <w:spacing w:line="264" w:lineRule="auto"/>
              <w:textAlignment w:val="baseline"/>
              <w:rPr>
                <w:rFonts w:ascii="黑体" w:hAnsi="宋体" w:eastAsia="黑体" w:cs="黑体"/>
                <w:b/>
                <w:bCs/>
                <w:color w:val="auto"/>
                <w:highlight w:val="none"/>
              </w:rPr>
            </w:pPr>
            <w:r>
              <w:rPr>
                <w:rFonts w:ascii="黑体" w:hAnsi="宋体" w:eastAsia="黑体" w:cs="黑体"/>
                <w:b/>
                <w:bCs/>
                <w:color w:val="auto"/>
                <w:highlight w:val="none"/>
              </w:rPr>
              <w:t>a.</w:t>
            </w:r>
            <w:r>
              <w:rPr>
                <w:rFonts w:hint="eastAsia" w:ascii="黑体" w:hAnsi="宋体" w:eastAsia="黑体" w:cs="黑体"/>
                <w:b/>
                <w:bCs/>
                <w:color w:val="auto"/>
                <w:highlight w:val="none"/>
              </w:rPr>
              <w:t>投标函按招标文件规定填报了项目名称、标段号、补遗书编号（如有）、投标价（包括大写金额和小写金额）；</w:t>
            </w:r>
          </w:p>
          <w:p>
            <w:pPr>
              <w:adjustRightInd w:val="0"/>
              <w:spacing w:line="264" w:lineRule="auto"/>
              <w:textAlignment w:val="baseline"/>
              <w:rPr>
                <w:rFonts w:ascii="黑体" w:hAnsi="宋体" w:eastAsia="黑体" w:cs="黑体"/>
                <w:b/>
                <w:bCs/>
                <w:color w:val="auto"/>
                <w:highlight w:val="none"/>
              </w:rPr>
            </w:pPr>
            <w:r>
              <w:rPr>
                <w:rFonts w:ascii="黑体" w:hAnsi="宋体" w:eastAsia="黑体" w:cs="黑体"/>
                <w:b/>
                <w:bCs/>
                <w:color w:val="auto"/>
                <w:highlight w:val="none"/>
              </w:rPr>
              <w:t>b.</w:t>
            </w:r>
            <w:r>
              <w:rPr>
                <w:rFonts w:hint="eastAsia" w:ascii="黑体" w:hAnsi="宋体" w:eastAsia="黑体" w:cs="黑体"/>
                <w:b/>
                <w:bCs/>
                <w:color w:val="auto"/>
                <w:highlight w:val="none"/>
              </w:rPr>
              <w:t>投标文件组成齐全完整，内容均按规定填写。</w:t>
            </w:r>
          </w:p>
          <w:p>
            <w:pPr>
              <w:adjustRightInd w:val="0"/>
              <w:spacing w:line="264" w:lineRule="auto"/>
              <w:textAlignment w:val="baseline"/>
              <w:rPr>
                <w:rFonts w:ascii="黑体" w:hAnsi="宋体" w:eastAsia="黑体"/>
                <w:b/>
                <w:bCs/>
                <w:color w:val="auto"/>
                <w:highlight w:val="none"/>
              </w:rPr>
            </w:pP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2</w:t>
            </w:r>
            <w:r>
              <w:rPr>
                <w:rFonts w:hint="eastAsia" w:ascii="黑体" w:hAnsi="宋体" w:eastAsia="黑体" w:cs="黑体"/>
                <w:b/>
                <w:bCs/>
                <w:color w:val="auto"/>
                <w:highlight w:val="none"/>
              </w:rPr>
              <w:t>）投标文件上法定代表人或其授权代理人的签字或签章、投标人的单位章盖章齐全，符合招标文件规定。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3</w:t>
            </w:r>
            <w:r>
              <w:rPr>
                <w:rFonts w:hint="eastAsia" w:ascii="黑体" w:hAnsi="宋体" w:eastAsia="黑体" w:cs="黑体"/>
                <w:b/>
                <w:bCs/>
                <w:color w:val="auto"/>
                <w:highlight w:val="none"/>
              </w:rPr>
              <w:t>）投标报价中的报价未超过招标文件设定的最高投标限价（如有）；</w:t>
            </w:r>
          </w:p>
          <w:p>
            <w:pPr>
              <w:adjustRightInd w:val="0"/>
              <w:spacing w:line="264" w:lineRule="auto"/>
              <w:textAlignment w:val="baseline"/>
              <w:rPr>
                <w:rFonts w:ascii="黑体" w:hAnsi="宋体" w:eastAsia="黑体" w:cs="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4</w:t>
            </w:r>
            <w:r>
              <w:rPr>
                <w:rFonts w:hint="eastAsia" w:ascii="黑体" w:hAnsi="宋体" w:eastAsia="黑体" w:cs="黑体"/>
                <w:b/>
                <w:bCs/>
                <w:color w:val="auto"/>
                <w:highlight w:val="none"/>
              </w:rPr>
              <w:t>）投标报价中报价的大写金额能够确定具体数值。</w:t>
            </w:r>
          </w:p>
          <w:p>
            <w:pPr>
              <w:adjustRightInd w:val="0"/>
              <w:spacing w:line="264" w:lineRule="auto"/>
              <w:textAlignment w:val="baseline"/>
              <w:rPr>
                <w:rFonts w:ascii="黑体" w:hAnsi="宋体" w:eastAsia="黑体" w:cs="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5</w:t>
            </w:r>
            <w:r>
              <w:rPr>
                <w:rFonts w:hint="eastAsia" w:ascii="黑体" w:hAnsi="宋体" w:eastAsia="黑体" w:cs="黑体"/>
                <w:b/>
                <w:bCs/>
                <w:color w:val="auto"/>
                <w:highlight w:val="none"/>
              </w:rPr>
              <w:t>）同一投标人未提交两个以上不同的投标报价，但招标文件要求提交备选投标的除外。</w:t>
            </w:r>
          </w:p>
          <w:p>
            <w:pPr>
              <w:adjustRightInd w:val="0"/>
              <w:spacing w:line="264" w:lineRule="auto"/>
              <w:textAlignment w:val="baseline"/>
              <w:rPr>
                <w:rFonts w:ascii="宋体"/>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vAlign w:val="center"/>
          </w:tcPr>
          <w:p>
            <w:pPr>
              <w:adjustRightInd w:val="0"/>
              <w:spacing w:line="420" w:lineRule="atLeast"/>
              <w:jc w:val="center"/>
              <w:textAlignment w:val="baseline"/>
              <w:rPr>
                <w:color w:val="auto"/>
                <w:highlight w:val="none"/>
              </w:rPr>
            </w:pPr>
            <w:r>
              <w:rPr>
                <w:color w:val="auto"/>
                <w:highlight w:val="none"/>
              </w:rPr>
              <w:t>2.1.2</w:t>
            </w:r>
          </w:p>
        </w:tc>
        <w:tc>
          <w:tcPr>
            <w:tcW w:w="1134" w:type="dxa"/>
            <w:gridSpan w:val="3"/>
            <w:vAlign w:val="center"/>
          </w:tcPr>
          <w:p>
            <w:pPr>
              <w:jc w:val="center"/>
              <w:textAlignment w:val="baseline"/>
              <w:rPr>
                <w:color w:val="auto"/>
                <w:highlight w:val="none"/>
              </w:rPr>
            </w:pPr>
            <w:r>
              <w:rPr>
                <w:rFonts w:hint="eastAsia" w:cs="宋体"/>
                <w:color w:val="auto"/>
                <w:highlight w:val="none"/>
              </w:rPr>
              <w:t>资格评审标准</w:t>
            </w:r>
          </w:p>
        </w:tc>
        <w:tc>
          <w:tcPr>
            <w:tcW w:w="7088" w:type="dxa"/>
            <w:gridSpan w:val="5"/>
            <w:vAlign w:val="center"/>
          </w:tcPr>
          <w:p>
            <w:pPr>
              <w:adjustRightInd w:val="0"/>
              <w:spacing w:line="264" w:lineRule="auto"/>
              <w:textAlignment w:val="baseline"/>
              <w:rPr>
                <w:rFonts w:ascii="黑体" w:hAnsi="宋体" w:eastAsia="黑体" w:cs="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1</w:t>
            </w:r>
            <w:r>
              <w:rPr>
                <w:rFonts w:hint="eastAsia" w:ascii="黑体" w:hAnsi="宋体" w:eastAsia="黑体" w:cs="黑体"/>
                <w:b/>
                <w:bCs/>
                <w:color w:val="auto"/>
                <w:highlight w:val="none"/>
              </w:rPr>
              <w:t>）投标人具备有效的营业执照、基本账户开户许可证并符合招标文件要求。</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2</w:t>
            </w:r>
            <w:r>
              <w:rPr>
                <w:rFonts w:hint="eastAsia" w:ascii="黑体" w:hAnsi="宋体" w:eastAsia="黑体" w:cs="黑体"/>
                <w:b/>
                <w:bCs/>
                <w:color w:val="auto"/>
                <w:highlight w:val="none"/>
              </w:rPr>
              <w:t>）投标人的资质符合招标文件规定。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3</w:t>
            </w:r>
            <w:r>
              <w:rPr>
                <w:rFonts w:hint="eastAsia" w:ascii="黑体" w:hAnsi="宋体" w:eastAsia="黑体" w:cs="黑体"/>
                <w:b/>
                <w:bCs/>
                <w:color w:val="auto"/>
                <w:highlight w:val="none"/>
              </w:rPr>
              <w:t>）投标人的类似项目业绩符合招标文件规定。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4</w:t>
            </w:r>
            <w:r>
              <w:rPr>
                <w:rFonts w:hint="eastAsia" w:ascii="黑体" w:hAnsi="宋体" w:eastAsia="黑体" w:cs="黑体"/>
                <w:b/>
                <w:bCs/>
                <w:color w:val="auto"/>
                <w:highlight w:val="none"/>
              </w:rPr>
              <w:t>）投标人的信誉符合招标文件规定。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5</w:t>
            </w:r>
            <w:r>
              <w:rPr>
                <w:rFonts w:hint="eastAsia" w:ascii="黑体" w:hAnsi="宋体" w:eastAsia="黑体" w:cs="黑体"/>
                <w:b/>
                <w:bCs/>
                <w:color w:val="auto"/>
                <w:highlight w:val="none"/>
              </w:rPr>
              <w:t>）投标人的项目负责人资格、业绩、在岗情况符合招标文件规定。</w:t>
            </w:r>
          </w:p>
          <w:p>
            <w:pPr>
              <w:adjustRightInd w:val="0"/>
              <w:spacing w:line="264" w:lineRule="auto"/>
              <w:textAlignment w:val="baseline"/>
              <w:rPr>
                <w:rFonts w:ascii="黑体" w:hAnsi="宋体" w:eastAsia="黑体"/>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6</w:t>
            </w:r>
            <w:r>
              <w:rPr>
                <w:rFonts w:hint="eastAsia" w:ascii="黑体" w:hAnsi="宋体" w:eastAsia="黑体" w:cs="黑体"/>
                <w:b/>
                <w:bCs/>
                <w:color w:val="auto"/>
                <w:highlight w:val="none"/>
              </w:rPr>
              <w:t>）投标人的其他要求符合招标文件规定。</w:t>
            </w:r>
          </w:p>
          <w:p>
            <w:pPr>
              <w:adjustRightInd w:val="0"/>
              <w:spacing w:line="264" w:lineRule="auto"/>
              <w:textAlignment w:val="baseline"/>
              <w:rPr>
                <w:b/>
                <w:bCs/>
                <w:color w:val="auto"/>
                <w:highlight w:val="none"/>
              </w:rPr>
            </w:pPr>
            <w:r>
              <w:rPr>
                <w:rFonts w:hint="eastAsia" w:ascii="黑体" w:hAnsi="宋体" w:eastAsia="黑体" w:cs="黑体"/>
                <w:b/>
                <w:bCs/>
                <w:color w:val="auto"/>
                <w:highlight w:val="none"/>
              </w:rPr>
              <w:t>（</w:t>
            </w:r>
            <w:r>
              <w:rPr>
                <w:rFonts w:ascii="黑体" w:hAnsi="宋体" w:eastAsia="黑体" w:cs="黑体"/>
                <w:b/>
                <w:bCs/>
                <w:color w:val="auto"/>
                <w:highlight w:val="none"/>
              </w:rPr>
              <w:t>7</w:t>
            </w:r>
            <w:r>
              <w:rPr>
                <w:rFonts w:hint="eastAsia" w:ascii="黑体" w:hAnsi="宋体" w:eastAsia="黑体" w:cs="黑体"/>
                <w:b/>
                <w:bCs/>
                <w:color w:val="auto"/>
                <w:highlight w:val="none"/>
              </w:rPr>
              <w:t>）投标人不存在第二章“投标人须知”第</w:t>
            </w:r>
            <w:r>
              <w:rPr>
                <w:rFonts w:ascii="黑体" w:hAnsi="宋体" w:eastAsia="黑体" w:cs="黑体"/>
                <w:b/>
                <w:bCs/>
                <w:color w:val="auto"/>
                <w:highlight w:val="none"/>
              </w:rPr>
              <w:t xml:space="preserve"> 1.4.3 </w:t>
            </w:r>
            <w:r>
              <w:rPr>
                <w:rFonts w:hint="eastAsia" w:ascii="黑体" w:hAnsi="宋体" w:eastAsia="黑体" w:cs="黑体"/>
                <w:b/>
                <w:bCs/>
                <w:color w:val="auto"/>
                <w:highlight w:val="none"/>
              </w:rPr>
              <w:t>项或第</w:t>
            </w:r>
            <w:r>
              <w:rPr>
                <w:rFonts w:ascii="黑体" w:hAnsi="宋体" w:eastAsia="黑体" w:cs="黑体"/>
                <w:b/>
                <w:bCs/>
                <w:color w:val="auto"/>
                <w:highlight w:val="none"/>
              </w:rPr>
              <w:t xml:space="preserve"> 1.4.4 </w:t>
            </w:r>
            <w:r>
              <w:rPr>
                <w:rFonts w:hint="eastAsia" w:ascii="黑体" w:hAnsi="宋体" w:eastAsia="黑体" w:cs="黑体"/>
                <w:b/>
                <w:bCs/>
                <w:color w:val="auto"/>
                <w:highlight w:val="none"/>
              </w:rPr>
              <w:t>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81" w:type="dxa"/>
            <w:gridSpan w:val="4"/>
            <w:vAlign w:val="center"/>
          </w:tcPr>
          <w:p>
            <w:pPr>
              <w:jc w:val="center"/>
              <w:rPr>
                <w:b/>
                <w:bCs/>
                <w:color w:val="auto"/>
                <w:highlight w:val="none"/>
              </w:rPr>
            </w:pPr>
            <w:r>
              <w:rPr>
                <w:rFonts w:hint="eastAsia" w:cs="宋体"/>
                <w:b/>
                <w:bCs/>
                <w:color w:val="auto"/>
                <w:highlight w:val="none"/>
              </w:rPr>
              <w:t>条款号</w:t>
            </w:r>
          </w:p>
        </w:tc>
        <w:tc>
          <w:tcPr>
            <w:tcW w:w="1135" w:type="dxa"/>
            <w:gridSpan w:val="2"/>
            <w:vAlign w:val="center"/>
          </w:tcPr>
          <w:p>
            <w:pPr>
              <w:jc w:val="center"/>
              <w:rPr>
                <w:b/>
                <w:bCs/>
                <w:color w:val="auto"/>
                <w:highlight w:val="none"/>
              </w:rPr>
            </w:pPr>
            <w:r>
              <w:rPr>
                <w:rFonts w:hint="eastAsia" w:cs="宋体"/>
                <w:b/>
                <w:bCs/>
                <w:color w:val="auto"/>
                <w:highlight w:val="none"/>
              </w:rPr>
              <w:t>条款内容</w:t>
            </w:r>
          </w:p>
        </w:tc>
        <w:tc>
          <w:tcPr>
            <w:tcW w:w="5953" w:type="dxa"/>
            <w:gridSpan w:val="3"/>
            <w:vAlign w:val="center"/>
          </w:tcPr>
          <w:p>
            <w:pPr>
              <w:jc w:val="center"/>
              <w:rPr>
                <w:b/>
                <w:bCs/>
                <w:color w:val="auto"/>
                <w:highlight w:val="none"/>
              </w:rPr>
            </w:pPr>
            <w:r>
              <w:rPr>
                <w:rFonts w:hint="eastAsia" w:cs="宋体"/>
                <w:b/>
                <w:bCs/>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gridSpan w:val="4"/>
            <w:vAlign w:val="center"/>
          </w:tcPr>
          <w:p>
            <w:pPr>
              <w:jc w:val="center"/>
              <w:rPr>
                <w:color w:val="auto"/>
                <w:highlight w:val="none"/>
              </w:rPr>
            </w:pPr>
            <w:r>
              <w:rPr>
                <w:color w:val="auto"/>
                <w:highlight w:val="none"/>
              </w:rPr>
              <w:t>2.2.1</w:t>
            </w:r>
          </w:p>
        </w:tc>
        <w:tc>
          <w:tcPr>
            <w:tcW w:w="1135" w:type="dxa"/>
            <w:gridSpan w:val="2"/>
            <w:vAlign w:val="center"/>
          </w:tcPr>
          <w:p>
            <w:pPr>
              <w:jc w:val="center"/>
              <w:rPr>
                <w:color w:val="auto"/>
                <w:highlight w:val="none"/>
              </w:rPr>
            </w:pPr>
            <w:r>
              <w:rPr>
                <w:rFonts w:hint="eastAsia" w:cs="宋体"/>
                <w:color w:val="auto"/>
                <w:highlight w:val="none"/>
              </w:rPr>
              <w:t>第一个信封评分分值构成</w:t>
            </w:r>
          </w:p>
          <w:p>
            <w:pPr>
              <w:rPr>
                <w:color w:val="auto"/>
                <w:highlight w:val="none"/>
              </w:rPr>
            </w:pPr>
            <w:r>
              <w:rPr>
                <w:rFonts w:hint="eastAsia" w:cs="宋体"/>
                <w:color w:val="auto"/>
                <w:highlight w:val="none"/>
              </w:rPr>
              <w:t>（总分</w:t>
            </w:r>
            <w:r>
              <w:rPr>
                <w:color w:val="auto"/>
                <w:highlight w:val="none"/>
              </w:rPr>
              <w:t>100</w:t>
            </w:r>
            <w:r>
              <w:rPr>
                <w:rFonts w:hint="eastAsia" w:cs="宋体"/>
                <w:color w:val="auto"/>
                <w:highlight w:val="none"/>
              </w:rPr>
              <w:t>分）</w:t>
            </w:r>
          </w:p>
        </w:tc>
        <w:tc>
          <w:tcPr>
            <w:tcW w:w="5953" w:type="dxa"/>
            <w:gridSpan w:val="3"/>
            <w:vAlign w:val="center"/>
          </w:tcPr>
          <w:p>
            <w:pPr>
              <w:rPr>
                <w:color w:val="auto"/>
                <w:highlight w:val="none"/>
              </w:rPr>
            </w:pPr>
            <w:r>
              <w:rPr>
                <w:rFonts w:hint="eastAsia" w:cs="宋体"/>
                <w:color w:val="auto"/>
                <w:highlight w:val="none"/>
              </w:rPr>
              <w:t>施工组织设计：</w:t>
            </w:r>
            <w:r>
              <w:rPr>
                <w:rFonts w:hint="eastAsia"/>
                <w:color w:val="auto"/>
                <w:highlight w:val="none"/>
                <w:lang w:val="en-US" w:eastAsia="zh-CN"/>
              </w:rPr>
              <w:t>40</w:t>
            </w:r>
            <w:r>
              <w:rPr>
                <w:rFonts w:hint="eastAsia" w:cs="宋体"/>
                <w:color w:val="auto"/>
                <w:highlight w:val="none"/>
              </w:rPr>
              <w:t>分；</w:t>
            </w:r>
          </w:p>
          <w:p>
            <w:pPr>
              <w:rPr>
                <w:color w:val="auto"/>
                <w:highlight w:val="none"/>
              </w:rPr>
            </w:pPr>
            <w:r>
              <w:rPr>
                <w:rFonts w:hint="eastAsia" w:cs="宋体"/>
                <w:color w:val="auto"/>
                <w:highlight w:val="none"/>
              </w:rPr>
              <w:t>主要人员：</w:t>
            </w:r>
            <w:r>
              <w:rPr>
                <w:rFonts w:hint="eastAsia" w:cs="宋体"/>
                <w:color w:val="auto"/>
                <w:highlight w:val="none"/>
                <w:lang w:val="en-US" w:eastAsia="zh-CN"/>
              </w:rPr>
              <w:t>30</w:t>
            </w:r>
            <w:r>
              <w:rPr>
                <w:rFonts w:hint="eastAsia" w:cs="宋体"/>
                <w:color w:val="auto"/>
                <w:highlight w:val="none"/>
              </w:rPr>
              <w:t>分；</w:t>
            </w:r>
          </w:p>
          <w:p>
            <w:pPr>
              <w:rPr>
                <w:color w:val="auto"/>
                <w:highlight w:val="none"/>
              </w:rPr>
            </w:pPr>
            <w:r>
              <w:rPr>
                <w:rFonts w:hint="eastAsia" w:cs="宋体"/>
                <w:color w:val="auto"/>
                <w:highlight w:val="none"/>
              </w:rPr>
              <w:t>其他因素—投标人类似项目业绩：</w:t>
            </w:r>
            <w:r>
              <w:rPr>
                <w:color w:val="auto"/>
                <w:highlight w:val="none"/>
              </w:rPr>
              <w:t>30</w:t>
            </w:r>
            <w:r>
              <w:rPr>
                <w:rFonts w:hint="eastAsia" w:cs="宋体"/>
                <w:color w:val="auto"/>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gridSpan w:val="4"/>
            <w:vAlign w:val="center"/>
          </w:tcPr>
          <w:p>
            <w:pPr>
              <w:jc w:val="center"/>
              <w:rPr>
                <w:color w:val="auto"/>
                <w:highlight w:val="none"/>
              </w:rPr>
            </w:pPr>
            <w:r>
              <w:rPr>
                <w:color w:val="auto"/>
                <w:highlight w:val="none"/>
              </w:rPr>
              <w:t>3.2.4</w:t>
            </w:r>
          </w:p>
        </w:tc>
        <w:tc>
          <w:tcPr>
            <w:tcW w:w="1135" w:type="dxa"/>
            <w:gridSpan w:val="2"/>
            <w:vAlign w:val="center"/>
          </w:tcPr>
          <w:p>
            <w:pPr>
              <w:jc w:val="center"/>
              <w:rPr>
                <w:color w:val="auto"/>
                <w:highlight w:val="none"/>
              </w:rPr>
            </w:pPr>
            <w:r>
              <w:rPr>
                <w:rFonts w:hint="eastAsia" w:cs="宋体"/>
                <w:color w:val="auto"/>
                <w:highlight w:val="none"/>
              </w:rPr>
              <w:t>通过第一信封详细评审的投标人数量</w:t>
            </w:r>
          </w:p>
        </w:tc>
        <w:tc>
          <w:tcPr>
            <w:tcW w:w="5953" w:type="dxa"/>
            <w:gridSpan w:val="3"/>
            <w:vAlign w:val="center"/>
          </w:tcPr>
          <w:p>
            <w:pPr>
              <w:rPr>
                <w:color w:val="auto"/>
                <w:highlight w:val="none"/>
              </w:rPr>
            </w:pPr>
            <w:r>
              <w:rPr>
                <w:rFonts w:hint="eastAsia" w:cs="宋体"/>
                <w:color w:val="auto"/>
                <w:highlight w:val="none"/>
              </w:rPr>
              <w:t>按照投标人的商务和技术得分由高到低排序，选择前</w:t>
            </w:r>
            <w:r>
              <w:rPr>
                <w:rFonts w:hint="eastAsia"/>
                <w:b/>
                <w:bCs/>
                <w:color w:val="auto"/>
                <w:highlight w:val="none"/>
                <w:u w:val="single"/>
              </w:rPr>
              <w:t>3</w:t>
            </w:r>
            <w:r>
              <w:rPr>
                <w:rFonts w:hint="eastAsia" w:cs="宋体"/>
                <w:color w:val="auto"/>
                <w:highlight w:val="none"/>
              </w:rPr>
              <w:t>名通过详细评审。</w:t>
            </w:r>
          </w:p>
          <w:p>
            <w:pPr>
              <w:rPr>
                <w:color w:val="auto"/>
                <w:highlight w:val="none"/>
              </w:rPr>
            </w:pPr>
            <w:r>
              <w:rPr>
                <w:rFonts w:hint="eastAsia" w:cs="宋体"/>
                <w:b/>
                <w:bCs/>
                <w:color w:val="auto"/>
                <w:highlight w:val="none"/>
              </w:rPr>
              <w:t>若通过第一信封初步评审的投标人不足</w:t>
            </w:r>
            <w:r>
              <w:rPr>
                <w:b/>
                <w:bCs/>
                <w:color w:val="auto"/>
                <w:highlight w:val="none"/>
                <w:u w:val="single"/>
              </w:rPr>
              <w:t xml:space="preserve"> </w:t>
            </w:r>
            <w:r>
              <w:rPr>
                <w:rFonts w:hint="eastAsia"/>
                <w:b/>
                <w:bCs/>
                <w:color w:val="auto"/>
                <w:highlight w:val="none"/>
                <w:u w:val="single"/>
              </w:rPr>
              <w:t>3</w:t>
            </w:r>
            <w:r>
              <w:rPr>
                <w:rFonts w:hint="eastAsia" w:cs="宋体"/>
                <w:b/>
                <w:bCs/>
                <w:color w:val="auto"/>
                <w:highlight w:val="none"/>
              </w:rPr>
              <w:t>名的，则无须再进行第一信封详细评审，直接进入第二信封评审。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1" w:type="dxa"/>
            <w:gridSpan w:val="8"/>
            <w:vAlign w:val="center"/>
          </w:tcPr>
          <w:p>
            <w:pPr>
              <w:jc w:val="center"/>
              <w:rPr>
                <w:color w:val="auto"/>
                <w:highlight w:val="none"/>
              </w:rPr>
            </w:pPr>
            <w:r>
              <w:rPr>
                <w:rFonts w:hint="eastAsia" w:cs="宋体"/>
                <w:color w:val="auto"/>
                <w:highlight w:val="none"/>
              </w:rPr>
              <w:t>评分因素与权重分值</w:t>
            </w:r>
          </w:p>
        </w:tc>
        <w:tc>
          <w:tcPr>
            <w:tcW w:w="4068" w:type="dxa"/>
            <w:vMerge w:val="restart"/>
            <w:vAlign w:val="center"/>
          </w:tcPr>
          <w:p>
            <w:pPr>
              <w:jc w:val="center"/>
              <w:rPr>
                <w:color w:val="auto"/>
                <w:highlight w:val="none"/>
              </w:rPr>
            </w:pPr>
            <w:r>
              <w:rPr>
                <w:rFonts w:hint="eastAsia" w:cs="宋体"/>
                <w:color w:val="auto"/>
                <w:highlight w:val="none"/>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1" w:type="dxa"/>
            <w:gridSpan w:val="2"/>
            <w:vAlign w:val="center"/>
          </w:tcPr>
          <w:p>
            <w:pPr>
              <w:jc w:val="center"/>
              <w:rPr>
                <w:color w:val="auto"/>
                <w:highlight w:val="none"/>
              </w:rPr>
            </w:pPr>
            <w:r>
              <w:rPr>
                <w:rFonts w:hint="eastAsia" w:cs="宋体"/>
                <w:color w:val="auto"/>
                <w:highlight w:val="none"/>
              </w:rPr>
              <w:t>条款号</w:t>
            </w:r>
          </w:p>
        </w:tc>
        <w:tc>
          <w:tcPr>
            <w:tcW w:w="999" w:type="dxa"/>
            <w:gridSpan w:val="3"/>
            <w:vAlign w:val="center"/>
          </w:tcPr>
          <w:p>
            <w:pPr>
              <w:jc w:val="center"/>
              <w:rPr>
                <w:color w:val="auto"/>
                <w:highlight w:val="none"/>
              </w:rPr>
            </w:pPr>
            <w:r>
              <w:rPr>
                <w:rFonts w:hint="eastAsia" w:cs="宋体"/>
                <w:color w:val="auto"/>
                <w:highlight w:val="none"/>
              </w:rPr>
              <w:t>评分因素</w:t>
            </w:r>
          </w:p>
        </w:tc>
        <w:tc>
          <w:tcPr>
            <w:tcW w:w="826" w:type="dxa"/>
            <w:vAlign w:val="center"/>
          </w:tcPr>
          <w:p>
            <w:pPr>
              <w:jc w:val="center"/>
              <w:rPr>
                <w:color w:val="auto"/>
                <w:highlight w:val="none"/>
              </w:rPr>
            </w:pPr>
            <w:r>
              <w:rPr>
                <w:rFonts w:hint="eastAsia" w:cs="宋体"/>
                <w:color w:val="auto"/>
                <w:highlight w:val="none"/>
              </w:rPr>
              <w:t>评分因素权重分值</w:t>
            </w:r>
          </w:p>
        </w:tc>
        <w:tc>
          <w:tcPr>
            <w:tcW w:w="1169" w:type="dxa"/>
            <w:vAlign w:val="center"/>
          </w:tcPr>
          <w:p>
            <w:pPr>
              <w:jc w:val="center"/>
              <w:rPr>
                <w:color w:val="auto"/>
                <w:highlight w:val="none"/>
              </w:rPr>
            </w:pPr>
            <w:r>
              <w:rPr>
                <w:rFonts w:hint="eastAsia" w:cs="宋体"/>
                <w:color w:val="auto"/>
                <w:highlight w:val="none"/>
              </w:rPr>
              <w:t>各评分因素细分项</w:t>
            </w:r>
          </w:p>
        </w:tc>
        <w:tc>
          <w:tcPr>
            <w:tcW w:w="716" w:type="dxa"/>
            <w:vAlign w:val="center"/>
          </w:tcPr>
          <w:p>
            <w:pPr>
              <w:jc w:val="center"/>
              <w:rPr>
                <w:color w:val="auto"/>
                <w:highlight w:val="none"/>
              </w:rPr>
            </w:pPr>
            <w:r>
              <w:rPr>
                <w:rFonts w:hint="eastAsia" w:cs="宋体"/>
                <w:color w:val="auto"/>
                <w:highlight w:val="none"/>
              </w:rPr>
              <w:t>分值</w:t>
            </w:r>
          </w:p>
        </w:tc>
        <w:tc>
          <w:tcPr>
            <w:tcW w:w="4068"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91" w:type="dxa"/>
            <w:gridSpan w:val="2"/>
            <w:vMerge w:val="restart"/>
            <w:vAlign w:val="center"/>
          </w:tcPr>
          <w:p>
            <w:pPr>
              <w:jc w:val="center"/>
              <w:rPr>
                <w:color w:val="auto"/>
                <w:highlight w:val="none"/>
              </w:rPr>
            </w:pPr>
            <w:r>
              <w:rPr>
                <w:color w:val="auto"/>
                <w:highlight w:val="none"/>
              </w:rPr>
              <w:t>2.2.2</w:t>
            </w:r>
            <w:r>
              <w:rPr>
                <w:rFonts w:hint="eastAsia" w:cs="宋体"/>
                <w:color w:val="auto"/>
                <w:highlight w:val="none"/>
              </w:rPr>
              <w:t>（</w:t>
            </w:r>
            <w:r>
              <w:rPr>
                <w:color w:val="auto"/>
                <w:highlight w:val="none"/>
              </w:rPr>
              <w:t>1</w:t>
            </w:r>
            <w:r>
              <w:rPr>
                <w:rFonts w:hint="eastAsia" w:cs="宋体"/>
                <w:color w:val="auto"/>
                <w:highlight w:val="none"/>
              </w:rPr>
              <w:t>）</w:t>
            </w:r>
          </w:p>
        </w:tc>
        <w:tc>
          <w:tcPr>
            <w:tcW w:w="999" w:type="dxa"/>
            <w:gridSpan w:val="3"/>
            <w:vMerge w:val="restart"/>
            <w:vAlign w:val="center"/>
          </w:tcPr>
          <w:p>
            <w:pPr>
              <w:jc w:val="center"/>
              <w:rPr>
                <w:color w:val="auto"/>
                <w:highlight w:val="none"/>
              </w:rPr>
            </w:pPr>
            <w:r>
              <w:rPr>
                <w:rFonts w:hint="eastAsia" w:cs="宋体"/>
                <w:color w:val="auto"/>
                <w:highlight w:val="none"/>
              </w:rPr>
              <w:t>施工组织设计</w:t>
            </w:r>
          </w:p>
        </w:tc>
        <w:tc>
          <w:tcPr>
            <w:tcW w:w="826" w:type="dxa"/>
            <w:vMerge w:val="restart"/>
            <w:vAlign w:val="center"/>
          </w:tcPr>
          <w:p>
            <w:pPr>
              <w:jc w:val="center"/>
              <w:rPr>
                <w:rFonts w:hint="eastAsia" w:eastAsia="宋体"/>
                <w:color w:val="auto"/>
                <w:highlight w:val="none"/>
                <w:lang w:eastAsia="zh-CN"/>
              </w:rPr>
            </w:pPr>
            <w:r>
              <w:rPr>
                <w:rFonts w:hint="eastAsia"/>
                <w:color w:val="auto"/>
                <w:highlight w:val="none"/>
              </w:rPr>
              <w:t>4</w:t>
            </w:r>
            <w:r>
              <w:rPr>
                <w:rFonts w:hint="eastAsia"/>
                <w:color w:val="auto"/>
                <w:highlight w:val="none"/>
                <w:lang w:val="en-US" w:eastAsia="zh-CN"/>
              </w:rPr>
              <w:t>0</w:t>
            </w:r>
          </w:p>
        </w:tc>
        <w:tc>
          <w:tcPr>
            <w:tcW w:w="1169" w:type="dxa"/>
            <w:vAlign w:val="center"/>
          </w:tcPr>
          <w:p>
            <w:pPr>
              <w:tabs>
                <w:tab w:val="left" w:pos="4200"/>
              </w:tabs>
              <w:spacing w:line="300" w:lineRule="exact"/>
              <w:jc w:val="center"/>
              <w:rPr>
                <w:rFonts w:ascii="宋体"/>
                <w:color w:val="auto"/>
                <w:highlight w:val="none"/>
              </w:rPr>
            </w:pPr>
            <w:r>
              <w:rPr>
                <w:rFonts w:hint="eastAsia" w:ascii="宋体" w:hAnsi="宋体" w:cs="仿宋_GB2312"/>
                <w:color w:val="auto"/>
                <w:highlight w:val="none"/>
              </w:rPr>
              <w:t>主要施工方案（重难点分析）</w:t>
            </w:r>
          </w:p>
        </w:tc>
        <w:tc>
          <w:tcPr>
            <w:tcW w:w="716" w:type="dxa"/>
            <w:vAlign w:val="center"/>
          </w:tcPr>
          <w:p>
            <w:pPr>
              <w:tabs>
                <w:tab w:val="left" w:pos="4200"/>
              </w:tabs>
              <w:spacing w:line="300" w:lineRule="exact"/>
              <w:jc w:val="center"/>
              <w:rPr>
                <w:rFonts w:ascii="宋体"/>
                <w:color w:val="auto"/>
                <w:highlight w:val="none"/>
              </w:rPr>
            </w:pPr>
            <w:r>
              <w:rPr>
                <w:rFonts w:hint="eastAsia" w:ascii="宋体" w:hAnsi="宋体" w:cs="仿宋_GB2312"/>
                <w:color w:val="auto"/>
                <w:highlight w:val="none"/>
                <w:lang w:val="en-US" w:eastAsia="zh-CN"/>
              </w:rPr>
              <w:t>14</w:t>
            </w:r>
            <w:r>
              <w:rPr>
                <w:rFonts w:hint="eastAsia" w:ascii="宋体" w:hAnsi="宋体" w:cs="仿宋_GB2312"/>
                <w:color w:val="auto"/>
                <w:highlight w:val="none"/>
              </w:rPr>
              <w:t>分</w:t>
            </w:r>
          </w:p>
        </w:tc>
        <w:tc>
          <w:tcPr>
            <w:tcW w:w="4068" w:type="dxa"/>
            <w:vAlign w:val="center"/>
          </w:tcPr>
          <w:p>
            <w:pPr>
              <w:ind w:firstLine="210" w:firstLineChars="100"/>
              <w:rPr>
                <w:rFonts w:ascii="宋体"/>
                <w:color w:val="auto"/>
                <w:highlight w:val="none"/>
              </w:rPr>
            </w:pPr>
            <w:r>
              <w:rPr>
                <w:rFonts w:hint="eastAsia" w:ascii="宋体" w:hAnsi="宋体" w:cs="仿宋_GB2312"/>
                <w:color w:val="auto"/>
                <w:highlight w:val="none"/>
              </w:rPr>
              <w:t>对施工组织内容是否齐全，是否符合和项目的实际情况，本项目重点难点的分析是否准确，重点难点工程的施工方案、方法是否齐全、合理。评委根据实际情况综合考虑打分，得分低于</w:t>
            </w:r>
            <w:r>
              <w:rPr>
                <w:rFonts w:ascii="宋体" w:hAnsi="宋体" w:cs="仿宋_GB2312"/>
                <w:color w:val="auto"/>
                <w:highlight w:val="none"/>
              </w:rPr>
              <w:t>60%</w:t>
            </w:r>
            <w:r>
              <w:rPr>
                <w:rFonts w:hint="eastAsia" w:ascii="宋体" w:hAnsi="宋体" w:cs="仿宋_GB2312"/>
                <w:color w:val="auto"/>
                <w:highlight w:val="none"/>
              </w:rPr>
              <w:t>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91" w:type="dxa"/>
            <w:gridSpan w:val="2"/>
            <w:vMerge w:val="continue"/>
            <w:vAlign w:val="center"/>
          </w:tcPr>
          <w:p>
            <w:pPr>
              <w:jc w:val="center"/>
              <w:rPr>
                <w:color w:val="auto"/>
                <w:highlight w:val="none"/>
              </w:rPr>
            </w:pPr>
          </w:p>
        </w:tc>
        <w:tc>
          <w:tcPr>
            <w:tcW w:w="999" w:type="dxa"/>
            <w:gridSpan w:val="3"/>
            <w:vMerge w:val="continue"/>
            <w:vAlign w:val="center"/>
          </w:tcPr>
          <w:p>
            <w:pPr>
              <w:jc w:val="center"/>
              <w:rPr>
                <w:color w:val="auto"/>
                <w:highlight w:val="none"/>
              </w:rPr>
            </w:pPr>
          </w:p>
        </w:tc>
        <w:tc>
          <w:tcPr>
            <w:tcW w:w="826" w:type="dxa"/>
            <w:vMerge w:val="continue"/>
            <w:vAlign w:val="center"/>
          </w:tcPr>
          <w:p>
            <w:pPr>
              <w:jc w:val="center"/>
              <w:rPr>
                <w:color w:val="auto"/>
                <w:highlight w:val="none"/>
              </w:rPr>
            </w:pPr>
          </w:p>
        </w:tc>
        <w:tc>
          <w:tcPr>
            <w:tcW w:w="1169" w:type="dxa"/>
            <w:vAlign w:val="center"/>
          </w:tcPr>
          <w:p>
            <w:pPr>
              <w:tabs>
                <w:tab w:val="left" w:pos="4200"/>
              </w:tabs>
              <w:spacing w:line="300" w:lineRule="exact"/>
              <w:jc w:val="center"/>
              <w:rPr>
                <w:rFonts w:ascii="宋体"/>
                <w:color w:val="auto"/>
                <w:highlight w:val="none"/>
              </w:rPr>
            </w:pPr>
            <w:r>
              <w:rPr>
                <w:rFonts w:hint="eastAsia" w:ascii="宋体" w:hAnsi="宋体"/>
                <w:color w:val="auto"/>
                <w:highlight w:val="none"/>
              </w:rPr>
              <w:t>安全保证措施</w:t>
            </w:r>
          </w:p>
        </w:tc>
        <w:tc>
          <w:tcPr>
            <w:tcW w:w="716" w:type="dxa"/>
            <w:vAlign w:val="center"/>
          </w:tcPr>
          <w:p>
            <w:pPr>
              <w:tabs>
                <w:tab w:val="left" w:pos="4200"/>
              </w:tabs>
              <w:spacing w:line="300" w:lineRule="exact"/>
              <w:jc w:val="center"/>
              <w:rPr>
                <w:rFonts w:ascii="宋体"/>
                <w:color w:val="auto"/>
                <w:highlight w:val="none"/>
              </w:rPr>
            </w:pPr>
            <w:r>
              <w:rPr>
                <w:rFonts w:hint="eastAsia" w:ascii="宋体" w:hAnsi="宋体" w:cs="仿宋_GB2312"/>
                <w:color w:val="auto"/>
                <w:highlight w:val="none"/>
                <w:lang w:val="en-US" w:eastAsia="zh-CN"/>
              </w:rPr>
              <w:t>14</w:t>
            </w:r>
            <w:r>
              <w:rPr>
                <w:rFonts w:hint="eastAsia" w:ascii="宋体" w:hAnsi="宋体" w:cs="仿宋_GB2312"/>
                <w:color w:val="auto"/>
                <w:highlight w:val="none"/>
              </w:rPr>
              <w:t>分</w:t>
            </w:r>
          </w:p>
        </w:tc>
        <w:tc>
          <w:tcPr>
            <w:tcW w:w="4068" w:type="dxa"/>
            <w:vAlign w:val="center"/>
          </w:tcPr>
          <w:p>
            <w:pPr>
              <w:ind w:firstLine="210" w:firstLineChars="100"/>
              <w:rPr>
                <w:rFonts w:ascii="宋体"/>
                <w:color w:val="auto"/>
                <w:highlight w:val="none"/>
              </w:rPr>
            </w:pPr>
            <w:r>
              <w:rPr>
                <w:rFonts w:hint="eastAsia" w:ascii="宋体" w:hAnsi="宋体"/>
                <w:color w:val="auto"/>
                <w:highlight w:val="none"/>
              </w:rPr>
              <w:t>安全目标是否符合招标文件要求，对项目的安全防控重点的分析是否合理、准确，对可能出现的安全问题是否有完善、细致的事前、事中、事后控制及处理措施，是否已初步确定工序的安全控制重点。</w:t>
            </w:r>
            <w:r>
              <w:rPr>
                <w:rFonts w:hint="eastAsia" w:ascii="宋体" w:hAnsi="宋体" w:cs="仿宋_GB2312"/>
                <w:color w:val="auto"/>
                <w:highlight w:val="none"/>
              </w:rPr>
              <w:t>评委根据实际情况综合考虑打分，得分低于</w:t>
            </w:r>
            <w:r>
              <w:rPr>
                <w:rFonts w:ascii="宋体" w:hAnsi="宋体" w:cs="仿宋_GB2312"/>
                <w:color w:val="auto"/>
                <w:highlight w:val="none"/>
              </w:rPr>
              <w:t>60%</w:t>
            </w:r>
            <w:r>
              <w:rPr>
                <w:rFonts w:hint="eastAsia" w:ascii="宋体" w:hAnsi="宋体" w:cs="仿宋_GB2312"/>
                <w:color w:val="auto"/>
                <w:highlight w:val="none"/>
              </w:rPr>
              <w:t>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91" w:type="dxa"/>
            <w:gridSpan w:val="2"/>
            <w:vMerge w:val="continue"/>
            <w:vAlign w:val="center"/>
          </w:tcPr>
          <w:p>
            <w:pPr>
              <w:jc w:val="center"/>
              <w:rPr>
                <w:color w:val="auto"/>
                <w:highlight w:val="none"/>
              </w:rPr>
            </w:pPr>
          </w:p>
        </w:tc>
        <w:tc>
          <w:tcPr>
            <w:tcW w:w="999" w:type="dxa"/>
            <w:gridSpan w:val="3"/>
            <w:vMerge w:val="continue"/>
            <w:vAlign w:val="center"/>
          </w:tcPr>
          <w:p>
            <w:pPr>
              <w:jc w:val="center"/>
              <w:rPr>
                <w:color w:val="auto"/>
                <w:highlight w:val="none"/>
              </w:rPr>
            </w:pPr>
          </w:p>
        </w:tc>
        <w:tc>
          <w:tcPr>
            <w:tcW w:w="826" w:type="dxa"/>
            <w:vMerge w:val="continue"/>
            <w:vAlign w:val="center"/>
          </w:tcPr>
          <w:p>
            <w:pPr>
              <w:jc w:val="center"/>
              <w:rPr>
                <w:color w:val="auto"/>
                <w:highlight w:val="none"/>
              </w:rPr>
            </w:pPr>
          </w:p>
        </w:tc>
        <w:tc>
          <w:tcPr>
            <w:tcW w:w="1169" w:type="dxa"/>
            <w:vAlign w:val="center"/>
          </w:tcPr>
          <w:p>
            <w:pPr>
              <w:tabs>
                <w:tab w:val="left" w:pos="4200"/>
              </w:tabs>
              <w:spacing w:line="300" w:lineRule="exact"/>
              <w:jc w:val="center"/>
              <w:rPr>
                <w:rFonts w:ascii="宋体"/>
                <w:color w:val="auto"/>
                <w:highlight w:val="none"/>
              </w:rPr>
            </w:pPr>
            <w:r>
              <w:rPr>
                <w:rFonts w:hint="eastAsia" w:ascii="宋体" w:hAnsi="宋体"/>
                <w:color w:val="auto"/>
                <w:highlight w:val="none"/>
              </w:rPr>
              <w:t>环保保证措施</w:t>
            </w:r>
          </w:p>
        </w:tc>
        <w:tc>
          <w:tcPr>
            <w:tcW w:w="716" w:type="dxa"/>
            <w:vAlign w:val="center"/>
          </w:tcPr>
          <w:p>
            <w:pPr>
              <w:tabs>
                <w:tab w:val="left" w:pos="4200"/>
              </w:tabs>
              <w:spacing w:line="300" w:lineRule="exact"/>
              <w:jc w:val="center"/>
              <w:rPr>
                <w:rFonts w:ascii="宋体"/>
                <w:color w:val="auto"/>
                <w:highlight w:val="none"/>
              </w:rPr>
            </w:pPr>
            <w:r>
              <w:rPr>
                <w:rFonts w:hint="eastAsia" w:ascii="宋体" w:hAnsi="宋体" w:cs="仿宋_GB2312"/>
                <w:color w:val="auto"/>
                <w:highlight w:val="none"/>
                <w:lang w:val="en-US" w:eastAsia="zh-CN"/>
              </w:rPr>
              <w:t>12</w:t>
            </w:r>
            <w:r>
              <w:rPr>
                <w:rFonts w:hint="eastAsia" w:ascii="宋体" w:hAnsi="宋体" w:cs="仿宋_GB2312"/>
                <w:color w:val="auto"/>
                <w:highlight w:val="none"/>
              </w:rPr>
              <w:t>分</w:t>
            </w:r>
          </w:p>
        </w:tc>
        <w:tc>
          <w:tcPr>
            <w:tcW w:w="4068" w:type="dxa"/>
            <w:vAlign w:val="center"/>
          </w:tcPr>
          <w:p>
            <w:pPr>
              <w:ind w:firstLine="210" w:firstLineChars="100"/>
              <w:rPr>
                <w:rFonts w:ascii="宋体"/>
                <w:color w:val="auto"/>
                <w:highlight w:val="none"/>
              </w:rPr>
            </w:pPr>
            <w:r>
              <w:rPr>
                <w:rFonts w:hint="eastAsia" w:ascii="宋体" w:hAnsi="宋体"/>
                <w:color w:val="auto"/>
                <w:highlight w:val="none"/>
              </w:rPr>
              <w:t>对项目的环境保护重点的分析是否合理、准确，对可能出现环境污染问题是否有完善、细致的事前、事中、事后控制及处理措施，是否已初步确定工序的环境控制重点。</w:t>
            </w:r>
            <w:r>
              <w:rPr>
                <w:rFonts w:hint="eastAsia" w:ascii="宋体" w:hAnsi="宋体" w:cs="仿宋_GB2312"/>
                <w:color w:val="auto"/>
                <w:highlight w:val="none"/>
              </w:rPr>
              <w:t>评委根据实际情况综合考虑打分，得分低于</w:t>
            </w:r>
            <w:r>
              <w:rPr>
                <w:rFonts w:ascii="宋体" w:hAnsi="宋体" w:cs="仿宋_GB2312"/>
                <w:color w:val="auto"/>
                <w:highlight w:val="none"/>
              </w:rPr>
              <w:t>60%</w:t>
            </w:r>
            <w:r>
              <w:rPr>
                <w:rFonts w:hint="eastAsia" w:ascii="宋体" w:hAnsi="宋体" w:cs="仿宋_GB2312"/>
                <w:color w:val="auto"/>
                <w:highlight w:val="none"/>
              </w:rPr>
              <w:t>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91" w:type="dxa"/>
            <w:gridSpan w:val="2"/>
            <w:vAlign w:val="center"/>
          </w:tcPr>
          <w:p>
            <w:pPr>
              <w:jc w:val="center"/>
              <w:rPr>
                <w:color w:val="auto"/>
                <w:highlight w:val="none"/>
              </w:rPr>
            </w:pPr>
            <w:r>
              <w:rPr>
                <w:color w:val="auto"/>
                <w:highlight w:val="none"/>
              </w:rPr>
              <w:t>2.2.2</w:t>
            </w:r>
            <w:r>
              <w:rPr>
                <w:rFonts w:hint="eastAsia" w:cs="宋体"/>
                <w:color w:val="auto"/>
                <w:highlight w:val="none"/>
              </w:rPr>
              <w:t>（</w:t>
            </w:r>
            <w:r>
              <w:rPr>
                <w:color w:val="auto"/>
                <w:highlight w:val="none"/>
              </w:rPr>
              <w:t>2</w:t>
            </w:r>
            <w:r>
              <w:rPr>
                <w:rFonts w:hint="eastAsia" w:cs="宋体"/>
                <w:color w:val="auto"/>
                <w:highlight w:val="none"/>
              </w:rPr>
              <w:t>）</w:t>
            </w:r>
          </w:p>
        </w:tc>
        <w:tc>
          <w:tcPr>
            <w:tcW w:w="999" w:type="dxa"/>
            <w:gridSpan w:val="3"/>
            <w:vAlign w:val="center"/>
          </w:tcPr>
          <w:p>
            <w:pPr>
              <w:jc w:val="center"/>
              <w:rPr>
                <w:rFonts w:cs="宋体"/>
                <w:color w:val="auto"/>
                <w:highlight w:val="none"/>
              </w:rPr>
            </w:pPr>
            <w:r>
              <w:rPr>
                <w:rFonts w:hint="eastAsia" w:cs="宋体"/>
                <w:color w:val="auto"/>
                <w:highlight w:val="none"/>
              </w:rPr>
              <w:t>主要</w:t>
            </w:r>
          </w:p>
          <w:p>
            <w:pPr>
              <w:jc w:val="center"/>
              <w:rPr>
                <w:color w:val="auto"/>
                <w:highlight w:val="none"/>
              </w:rPr>
            </w:pPr>
            <w:r>
              <w:rPr>
                <w:rFonts w:hint="eastAsia" w:cs="宋体"/>
                <w:color w:val="auto"/>
                <w:highlight w:val="none"/>
              </w:rPr>
              <w:t>人员</w:t>
            </w:r>
          </w:p>
        </w:tc>
        <w:tc>
          <w:tcPr>
            <w:tcW w:w="826" w:type="dxa"/>
            <w:vAlign w:val="center"/>
          </w:tcPr>
          <w:p>
            <w:pPr>
              <w:jc w:val="center"/>
              <w:rPr>
                <w:color w:val="auto"/>
                <w:highlight w:val="none"/>
              </w:rPr>
            </w:pPr>
            <w:r>
              <w:rPr>
                <w:rFonts w:hint="eastAsia"/>
                <w:color w:val="auto"/>
                <w:highlight w:val="none"/>
                <w:lang w:val="en-US" w:eastAsia="zh-CN"/>
              </w:rPr>
              <w:t>30</w:t>
            </w:r>
            <w:r>
              <w:rPr>
                <w:rFonts w:hint="eastAsia" w:cs="宋体"/>
                <w:color w:val="auto"/>
                <w:highlight w:val="none"/>
              </w:rPr>
              <w:t>分</w:t>
            </w:r>
          </w:p>
        </w:tc>
        <w:tc>
          <w:tcPr>
            <w:tcW w:w="1169" w:type="dxa"/>
            <w:vAlign w:val="center"/>
          </w:tcPr>
          <w:p>
            <w:pPr>
              <w:tabs>
                <w:tab w:val="left" w:pos="4200"/>
              </w:tabs>
              <w:spacing w:line="300" w:lineRule="exact"/>
              <w:jc w:val="center"/>
              <w:rPr>
                <w:color w:val="auto"/>
                <w:highlight w:val="none"/>
              </w:rPr>
            </w:pPr>
            <w:r>
              <w:rPr>
                <w:rFonts w:hint="eastAsia" w:ascii="宋体" w:hAnsi="宋体" w:cs="仿宋_GB2312"/>
                <w:color w:val="auto"/>
                <w:highlight w:val="none"/>
              </w:rPr>
              <w:t>项目经理</w:t>
            </w:r>
          </w:p>
        </w:tc>
        <w:tc>
          <w:tcPr>
            <w:tcW w:w="716" w:type="dxa"/>
            <w:vAlign w:val="center"/>
          </w:tcPr>
          <w:p>
            <w:pPr>
              <w:tabs>
                <w:tab w:val="left" w:pos="4200"/>
              </w:tabs>
              <w:spacing w:line="300" w:lineRule="exact"/>
              <w:ind w:left="-214" w:leftChars="-102" w:firstLine="214" w:firstLineChars="102"/>
              <w:jc w:val="center"/>
              <w:rPr>
                <w:color w:val="auto"/>
                <w:highlight w:val="none"/>
              </w:rPr>
            </w:pPr>
            <w:r>
              <w:rPr>
                <w:rFonts w:hint="eastAsia" w:ascii="宋体" w:hAnsi="宋体" w:cs="仿宋_GB2312"/>
                <w:color w:val="auto"/>
                <w:highlight w:val="none"/>
                <w:u w:val="none"/>
                <w:lang w:val="en-US" w:eastAsia="zh-CN"/>
              </w:rPr>
              <w:t>30</w:t>
            </w:r>
            <w:r>
              <w:rPr>
                <w:rFonts w:hint="eastAsia" w:ascii="宋体" w:hAnsi="宋体" w:cs="仿宋_GB2312"/>
                <w:color w:val="auto"/>
                <w:highlight w:val="none"/>
              </w:rPr>
              <w:t>分</w:t>
            </w:r>
          </w:p>
        </w:tc>
        <w:tc>
          <w:tcPr>
            <w:tcW w:w="4068" w:type="dxa"/>
            <w:vAlign w:val="center"/>
          </w:tcPr>
          <w:p>
            <w:pPr>
              <w:autoSpaceDE w:val="0"/>
              <w:autoSpaceDN w:val="0"/>
              <w:ind w:right="46" w:firstLine="210" w:firstLineChars="100"/>
              <w:rPr>
                <w:rFonts w:ascii="宋体"/>
                <w:color w:val="auto"/>
                <w:highlight w:val="none"/>
              </w:rPr>
            </w:pPr>
            <w:r>
              <w:rPr>
                <w:rFonts w:hint="eastAsia" w:ascii="宋体" w:hAnsi="宋体"/>
                <w:color w:val="auto"/>
                <w:highlight w:val="none"/>
              </w:rPr>
              <w:t>①拟投入项目经理</w:t>
            </w:r>
            <w:r>
              <w:rPr>
                <w:rFonts w:hint="eastAsia" w:ascii="宋体" w:hAnsi="宋体"/>
                <w:snapToGrid w:val="0"/>
                <w:color w:val="auto"/>
                <w:highlight w:val="none"/>
              </w:rPr>
              <w:t>满足资格条件要求的得基本</w:t>
            </w:r>
            <w:r>
              <w:rPr>
                <w:rFonts w:hint="eastAsia" w:ascii="宋体" w:hAnsi="宋体"/>
                <w:color w:val="auto"/>
                <w:highlight w:val="none"/>
              </w:rPr>
              <w:t>分2</w:t>
            </w:r>
            <w:r>
              <w:rPr>
                <w:rFonts w:hint="eastAsia" w:ascii="宋体" w:hAnsi="宋体"/>
                <w:color w:val="auto"/>
                <w:highlight w:val="none"/>
                <w:lang w:val="en-US" w:eastAsia="zh-CN"/>
              </w:rPr>
              <w:t>5</w:t>
            </w:r>
            <w:r>
              <w:rPr>
                <w:rFonts w:hint="eastAsia" w:ascii="宋体" w:hAnsi="宋体"/>
                <w:color w:val="auto"/>
                <w:highlight w:val="none"/>
              </w:rPr>
              <w:t>分；</w:t>
            </w:r>
          </w:p>
          <w:p>
            <w:pPr>
              <w:autoSpaceDE w:val="0"/>
              <w:autoSpaceDN w:val="0"/>
              <w:ind w:right="46" w:firstLine="210" w:firstLineChars="100"/>
              <w:rPr>
                <w:rFonts w:ascii="宋体"/>
                <w:color w:val="auto"/>
                <w:highlight w:val="none"/>
              </w:rPr>
            </w:pPr>
            <w:r>
              <w:rPr>
                <w:rFonts w:hint="eastAsia" w:ascii="宋体" w:hAnsi="宋体"/>
                <w:color w:val="auto"/>
                <w:highlight w:val="none"/>
              </w:rPr>
              <w:t>②在此基础上，项目经理具备工程师及以上技术职称的，加5分。</w:t>
            </w:r>
          </w:p>
          <w:p>
            <w:pPr>
              <w:autoSpaceDE w:val="0"/>
              <w:autoSpaceDN w:val="0"/>
              <w:ind w:right="46" w:firstLine="210" w:firstLineChars="100"/>
              <w:rPr>
                <w:color w:val="auto"/>
                <w:highlight w:val="none"/>
              </w:rPr>
            </w:pPr>
            <w:r>
              <w:rPr>
                <w:rFonts w:hint="eastAsia" w:ascii="宋体" w:hAnsi="宋体"/>
                <w:color w:val="auto"/>
                <w:highlight w:val="none"/>
              </w:rPr>
              <w:t>本项评分满分为</w:t>
            </w:r>
            <w:r>
              <w:rPr>
                <w:rFonts w:hint="eastAsia" w:ascii="宋体" w:hAnsi="宋体"/>
                <w:color w:val="auto"/>
                <w:highlight w:val="none"/>
                <w:lang w:val="en-US" w:eastAsia="zh-CN"/>
              </w:rPr>
              <w:t>30</w:t>
            </w:r>
            <w:r>
              <w:rPr>
                <w:rFonts w:hint="eastAsia" w:ascii="宋体" w:hAnsi="宋体"/>
                <w:color w:val="auto"/>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91" w:type="dxa"/>
            <w:gridSpan w:val="2"/>
            <w:vAlign w:val="center"/>
          </w:tcPr>
          <w:p>
            <w:pPr>
              <w:jc w:val="center"/>
              <w:rPr>
                <w:color w:val="auto"/>
                <w:highlight w:val="none"/>
              </w:rPr>
            </w:pPr>
            <w:r>
              <w:rPr>
                <w:color w:val="auto"/>
                <w:highlight w:val="none"/>
              </w:rPr>
              <w:t>2.2.2</w:t>
            </w:r>
            <w:r>
              <w:rPr>
                <w:rFonts w:hint="eastAsia"/>
                <w:color w:val="auto"/>
                <w:highlight w:val="none"/>
              </w:rPr>
              <w:t>（</w:t>
            </w:r>
            <w:r>
              <w:rPr>
                <w:color w:val="auto"/>
                <w:highlight w:val="none"/>
              </w:rPr>
              <w:t>3</w:t>
            </w:r>
            <w:r>
              <w:rPr>
                <w:rFonts w:hint="eastAsia"/>
                <w:color w:val="auto"/>
                <w:highlight w:val="none"/>
              </w:rPr>
              <w:t>）</w:t>
            </w:r>
          </w:p>
        </w:tc>
        <w:tc>
          <w:tcPr>
            <w:tcW w:w="999" w:type="dxa"/>
            <w:gridSpan w:val="3"/>
            <w:vAlign w:val="center"/>
          </w:tcPr>
          <w:p>
            <w:pPr>
              <w:jc w:val="center"/>
              <w:rPr>
                <w:color w:val="auto"/>
                <w:highlight w:val="none"/>
              </w:rPr>
            </w:pPr>
            <w:r>
              <w:rPr>
                <w:rFonts w:hint="eastAsia"/>
                <w:color w:val="auto"/>
                <w:highlight w:val="none"/>
              </w:rPr>
              <w:t>其他</w:t>
            </w:r>
          </w:p>
          <w:p>
            <w:pPr>
              <w:jc w:val="center"/>
              <w:rPr>
                <w:color w:val="auto"/>
                <w:highlight w:val="none"/>
              </w:rPr>
            </w:pPr>
            <w:r>
              <w:rPr>
                <w:rFonts w:hint="eastAsia"/>
                <w:color w:val="auto"/>
                <w:highlight w:val="none"/>
              </w:rPr>
              <w:t>因素</w:t>
            </w:r>
          </w:p>
        </w:tc>
        <w:tc>
          <w:tcPr>
            <w:tcW w:w="826" w:type="dxa"/>
            <w:vAlign w:val="center"/>
          </w:tcPr>
          <w:p>
            <w:pPr>
              <w:jc w:val="center"/>
              <w:rPr>
                <w:color w:val="auto"/>
                <w:highlight w:val="none"/>
              </w:rPr>
            </w:pPr>
            <w:r>
              <w:rPr>
                <w:rFonts w:hint="eastAsia"/>
                <w:color w:val="auto"/>
                <w:highlight w:val="none"/>
              </w:rPr>
              <w:t>30分</w:t>
            </w:r>
          </w:p>
        </w:tc>
        <w:tc>
          <w:tcPr>
            <w:tcW w:w="1169" w:type="dxa"/>
            <w:vAlign w:val="center"/>
          </w:tcPr>
          <w:p>
            <w:pPr>
              <w:tabs>
                <w:tab w:val="left" w:pos="4200"/>
              </w:tabs>
              <w:rPr>
                <w:rFonts w:cs="宋体"/>
                <w:color w:val="auto"/>
                <w:highlight w:val="none"/>
              </w:rPr>
            </w:pPr>
            <w:r>
              <w:rPr>
                <w:rFonts w:hint="eastAsia" w:cs="宋体"/>
                <w:color w:val="auto"/>
                <w:highlight w:val="none"/>
              </w:rPr>
              <w:t>投标人类似项目业绩</w:t>
            </w:r>
          </w:p>
        </w:tc>
        <w:tc>
          <w:tcPr>
            <w:tcW w:w="716" w:type="dxa"/>
            <w:vAlign w:val="center"/>
          </w:tcPr>
          <w:p>
            <w:pPr>
              <w:tabs>
                <w:tab w:val="left" w:pos="4200"/>
              </w:tabs>
              <w:jc w:val="center"/>
              <w:rPr>
                <w:color w:val="auto"/>
                <w:highlight w:val="none"/>
              </w:rPr>
            </w:pPr>
            <w:r>
              <w:rPr>
                <w:rFonts w:hint="eastAsia"/>
                <w:color w:val="auto"/>
                <w:highlight w:val="none"/>
              </w:rPr>
              <w:t>30分</w:t>
            </w:r>
          </w:p>
        </w:tc>
        <w:tc>
          <w:tcPr>
            <w:tcW w:w="4068" w:type="dxa"/>
            <w:vAlign w:val="center"/>
          </w:tcPr>
          <w:p>
            <w:pPr>
              <w:tabs>
                <w:tab w:val="left" w:pos="4200"/>
              </w:tabs>
              <w:rPr>
                <w:rFonts w:cs="宋体"/>
                <w:color w:val="auto"/>
                <w:highlight w:val="none"/>
              </w:rPr>
            </w:pPr>
            <w:r>
              <w:rPr>
                <w:rFonts w:hint="eastAsia" w:ascii="宋体" w:hAnsi="宋体" w:cs="宋体"/>
                <w:color w:val="auto"/>
                <w:highlight w:val="none"/>
              </w:rPr>
              <w:t>投标人符合业绩资格条件得基本分20分，</w:t>
            </w:r>
            <w:r>
              <w:rPr>
                <w:rFonts w:hint="eastAsia" w:ascii="宋体" w:hAnsi="宋体"/>
                <w:color w:val="auto"/>
                <w:highlight w:val="none"/>
              </w:rPr>
              <w:t>在此基础上，</w:t>
            </w:r>
            <w:r>
              <w:rPr>
                <w:rFonts w:hint="eastAsia" w:ascii="宋体" w:hAnsi="宋体" w:cs="宋体"/>
                <w:color w:val="auto"/>
                <w:highlight w:val="none"/>
              </w:rPr>
              <w:t>每增加一项符合业绩资格条件的施工业绩加</w:t>
            </w:r>
            <w:r>
              <w:rPr>
                <w:rFonts w:ascii="宋体" w:hAnsi="宋体" w:cs="宋体"/>
                <w:color w:val="auto"/>
                <w:highlight w:val="none"/>
              </w:rPr>
              <w:t>2</w:t>
            </w:r>
            <w:r>
              <w:rPr>
                <w:rFonts w:hint="eastAsia" w:ascii="宋体" w:hAnsi="宋体" w:cs="宋体"/>
                <w:color w:val="auto"/>
                <w:highlight w:val="none"/>
              </w:rPr>
              <w:t>分，本项最多得30分</w:t>
            </w:r>
            <w:r>
              <w:rPr>
                <w:rFonts w:hint="eastAsia" w:cs="宋体"/>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9" w:type="dxa"/>
            <w:gridSpan w:val="9"/>
            <w:vAlign w:val="center"/>
          </w:tcPr>
          <w:p>
            <w:pPr>
              <w:rPr>
                <w:color w:val="auto"/>
                <w:highlight w:val="none"/>
              </w:rPr>
            </w:pPr>
            <w:r>
              <w:rPr>
                <w:rFonts w:hint="eastAsia" w:cs="宋体"/>
                <w:color w:val="auto"/>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gridSpan w:val="3"/>
            <w:vAlign w:val="center"/>
          </w:tcPr>
          <w:p>
            <w:pPr>
              <w:jc w:val="center"/>
              <w:rPr>
                <w:color w:val="auto"/>
                <w:highlight w:val="none"/>
              </w:rPr>
            </w:pPr>
            <w:r>
              <w:rPr>
                <w:color w:val="auto"/>
                <w:highlight w:val="none"/>
              </w:rPr>
              <w:t>3.2.1</w:t>
            </w:r>
          </w:p>
        </w:tc>
        <w:tc>
          <w:tcPr>
            <w:tcW w:w="7653" w:type="dxa"/>
            <w:gridSpan w:val="6"/>
            <w:vAlign w:val="center"/>
          </w:tcPr>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本项补充：</w:t>
            </w:r>
          </w:p>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评标委员会按本章第2.2.2款规定的量化因素和分值进行打分，并计算出各投标人的商务和技术得分。各评标委员会委员评分均保留至小数点后一位，且各评分因素、评分因素细分项得分一般不得低于其权重分值的60%。各评分因素得分为评标委员会各成员的打分平均值（若该评分因素含细分项，按评分因素细分项分别计算得分），评标委员会成员总数为7人或7人以上时，该平均值以去掉一个最高分和一个最低分后计算，计算保留小数点后两位，小数点后第三位“四舍五入”。评标委员会成员对某一项评分因素细分值的评分低于权重分值60%的，应在评标报告中作出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gridSpan w:val="3"/>
            <w:vAlign w:val="center"/>
          </w:tcPr>
          <w:p>
            <w:pPr>
              <w:jc w:val="center"/>
              <w:rPr>
                <w:color w:val="auto"/>
                <w:highlight w:val="none"/>
              </w:rPr>
            </w:pPr>
            <w:r>
              <w:rPr>
                <w:color w:val="auto"/>
                <w:highlight w:val="none"/>
              </w:rPr>
              <w:t>3.2.4</w:t>
            </w:r>
          </w:p>
        </w:tc>
        <w:tc>
          <w:tcPr>
            <w:tcW w:w="7653" w:type="dxa"/>
            <w:gridSpan w:val="6"/>
            <w:vAlign w:val="center"/>
          </w:tcPr>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本项补充：</w:t>
            </w:r>
          </w:p>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第一信封（商务及技术文件）评审得分中出现2份或2份以上得分相同时并影响到是否能通过投标文件第一个信封详细评审时，“施工组织设计”得分高的投标人排名在前；若仍不能确定的，则由评标委员会全体成员投票表决。</w:t>
            </w:r>
          </w:p>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通过第一信封详细评审的投标人名单一旦确定，评标结束前在任何情况下都不得由第一信封得分排名在后的投标人递补。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gridSpan w:val="3"/>
            <w:vAlign w:val="center"/>
          </w:tcPr>
          <w:p>
            <w:pPr>
              <w:jc w:val="center"/>
              <w:textAlignment w:val="baseline"/>
              <w:rPr>
                <w:color w:val="auto"/>
                <w:highlight w:val="none"/>
              </w:rPr>
            </w:pPr>
            <w:r>
              <w:rPr>
                <w:color w:val="auto"/>
                <w:highlight w:val="none"/>
              </w:rPr>
              <w:t>3.2.5</w:t>
            </w:r>
          </w:p>
        </w:tc>
        <w:tc>
          <w:tcPr>
            <w:tcW w:w="7653" w:type="dxa"/>
            <w:gridSpan w:val="6"/>
            <w:vAlign w:val="center"/>
          </w:tcPr>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增加补充本条款：</w:t>
            </w:r>
          </w:p>
          <w:p>
            <w:pPr>
              <w:adjustRightInd w:val="0"/>
              <w:spacing w:line="300" w:lineRule="auto"/>
              <w:textAlignment w:val="baseline"/>
              <w:rPr>
                <w:rFonts w:ascii="宋体" w:hAnsi="宋体"/>
                <w:color w:val="auto"/>
                <w:highlight w:val="none"/>
                <w:lang w:val="zh-CN"/>
              </w:rPr>
            </w:pPr>
            <w:r>
              <w:rPr>
                <w:rFonts w:hint="eastAsia" w:ascii="宋体" w:hAnsi="宋体"/>
                <w:color w:val="auto"/>
                <w:highlight w:val="none"/>
                <w:lang w:val="zh-CN"/>
              </w:rPr>
              <w:t>通过投标文件第一信封（商务及技术文件）评审的投标人不足3家的，评标委员会可以否决全部投标；未否决全部投标的，评标委员会应当在评标报告中阐明理由，招标人可按照第二章“投标人须知”第5.1款规定的时间和地点对投标文件第二信封（报价文件）进行开标，但评标委员会在进行报价文件评审时仍有权否决全部投标；评标委员会未在报价文件评审时否决全部投标的，应当在评标报告中阐明理由并按以下原则推荐中标候选人：对通过第二信封形式与响应性评审的投标报价按从低到高顺序进行排序，推荐报价最低的投标人为该标段第一中标候选人，另一单位（如有）为第二中标候选人，但投标报价低于其成本的除外。</w:t>
            </w:r>
          </w:p>
        </w:tc>
      </w:tr>
    </w:tbl>
    <w:p>
      <w:pPr>
        <w:widowControl/>
        <w:jc w:val="left"/>
        <w:rPr>
          <w:rFonts w:ascii="宋体"/>
          <w:color w:val="auto"/>
          <w:highlight w:val="none"/>
        </w:rPr>
      </w:pPr>
      <w:r>
        <w:rPr>
          <w:color w:val="auto"/>
          <w:highlight w:val="none"/>
        </w:rPr>
        <w:br w:type="page"/>
      </w:r>
    </w:p>
    <w:p>
      <w:pPr>
        <w:pStyle w:val="92"/>
        <w:ind w:firstLine="420"/>
        <w:rPr>
          <w:color w:val="auto"/>
          <w:sz w:val="21"/>
          <w:szCs w:val="21"/>
          <w:highlight w:val="none"/>
        </w:rPr>
      </w:pPr>
      <w:r>
        <w:rPr>
          <w:rFonts w:hint="eastAsia"/>
          <w:color w:val="auto"/>
          <w:sz w:val="21"/>
          <w:szCs w:val="21"/>
          <w:highlight w:val="none"/>
        </w:rPr>
        <w:t>1. 评标方法</w:t>
      </w:r>
    </w:p>
    <w:p>
      <w:pPr>
        <w:pStyle w:val="92"/>
        <w:ind w:firstLine="420"/>
        <w:rPr>
          <w:color w:val="auto"/>
          <w:sz w:val="21"/>
          <w:szCs w:val="21"/>
          <w:highlight w:val="none"/>
        </w:rPr>
      </w:pPr>
      <w:r>
        <w:rPr>
          <w:rFonts w:hint="eastAsia"/>
          <w:color w:val="auto"/>
          <w:sz w:val="21"/>
          <w:szCs w:val="21"/>
          <w:highlight w:val="none"/>
        </w:rPr>
        <w:t>本次评标采用技术评分最低标价法。评标委员会对满足招标文件实质性要求的投标文件的施工组织设计、主要人员、其他因素等因素进行评分，按照得分由高到低排序，对排名在招标文件规定数量以内的投标人的报价文件进行评审，按照评标价由低到高的顺序推荐中标候选人，但投标报价低于其成本的除外。评标价相等时，评标委员会应按照评标办法前附表规定的优先次序推荐中标候选人或确定中标人。</w:t>
      </w:r>
    </w:p>
    <w:p>
      <w:pPr>
        <w:pStyle w:val="92"/>
        <w:ind w:firstLine="420"/>
        <w:rPr>
          <w:color w:val="auto"/>
          <w:sz w:val="21"/>
          <w:szCs w:val="21"/>
          <w:highlight w:val="none"/>
        </w:rPr>
      </w:pPr>
      <w:r>
        <w:rPr>
          <w:rFonts w:hint="eastAsia"/>
          <w:color w:val="auto"/>
          <w:sz w:val="21"/>
          <w:szCs w:val="21"/>
          <w:highlight w:val="none"/>
        </w:rPr>
        <w:t>2. 评审标准</w:t>
      </w:r>
    </w:p>
    <w:p>
      <w:pPr>
        <w:pStyle w:val="92"/>
        <w:ind w:firstLine="420"/>
        <w:rPr>
          <w:color w:val="auto"/>
          <w:sz w:val="21"/>
          <w:szCs w:val="21"/>
          <w:highlight w:val="none"/>
        </w:rPr>
      </w:pPr>
      <w:r>
        <w:rPr>
          <w:rFonts w:hint="eastAsia"/>
          <w:color w:val="auto"/>
          <w:sz w:val="21"/>
          <w:szCs w:val="21"/>
          <w:highlight w:val="none"/>
        </w:rPr>
        <w:t>2.1 初步评审标准</w:t>
      </w:r>
    </w:p>
    <w:p>
      <w:pPr>
        <w:pStyle w:val="92"/>
        <w:ind w:firstLine="420"/>
        <w:rPr>
          <w:color w:val="auto"/>
          <w:sz w:val="21"/>
          <w:szCs w:val="21"/>
          <w:highlight w:val="none"/>
        </w:rPr>
      </w:pPr>
      <w:r>
        <w:rPr>
          <w:rFonts w:hint="eastAsia"/>
          <w:color w:val="auto"/>
          <w:sz w:val="21"/>
          <w:szCs w:val="21"/>
          <w:highlight w:val="none"/>
        </w:rPr>
        <w:t>2.1.1 形式评审标准：见评标办法前附表。</w:t>
      </w:r>
    </w:p>
    <w:p>
      <w:pPr>
        <w:pStyle w:val="92"/>
        <w:ind w:firstLine="420"/>
        <w:rPr>
          <w:color w:val="auto"/>
          <w:sz w:val="21"/>
          <w:szCs w:val="21"/>
          <w:highlight w:val="none"/>
        </w:rPr>
      </w:pPr>
      <w:r>
        <w:rPr>
          <w:rFonts w:hint="eastAsia"/>
          <w:color w:val="auto"/>
          <w:sz w:val="21"/>
          <w:szCs w:val="21"/>
          <w:highlight w:val="none"/>
        </w:rPr>
        <w:t>2.1.2 资格评审标准：见评标办法前附表。</w:t>
      </w:r>
    </w:p>
    <w:p>
      <w:pPr>
        <w:pStyle w:val="92"/>
        <w:ind w:firstLine="420"/>
        <w:rPr>
          <w:color w:val="auto"/>
          <w:sz w:val="21"/>
          <w:szCs w:val="21"/>
          <w:highlight w:val="none"/>
        </w:rPr>
      </w:pPr>
      <w:r>
        <w:rPr>
          <w:rFonts w:hint="eastAsia"/>
          <w:color w:val="auto"/>
          <w:sz w:val="21"/>
          <w:szCs w:val="21"/>
          <w:highlight w:val="none"/>
        </w:rPr>
        <w:t>2.1.3 响应性评审标准：见评标办法前附表。</w:t>
      </w:r>
    </w:p>
    <w:p>
      <w:pPr>
        <w:pStyle w:val="92"/>
        <w:ind w:firstLine="420"/>
        <w:rPr>
          <w:color w:val="auto"/>
          <w:sz w:val="21"/>
          <w:szCs w:val="21"/>
          <w:highlight w:val="none"/>
        </w:rPr>
      </w:pPr>
      <w:r>
        <w:rPr>
          <w:rFonts w:hint="eastAsia"/>
          <w:color w:val="auto"/>
          <w:sz w:val="21"/>
          <w:szCs w:val="21"/>
          <w:highlight w:val="none"/>
        </w:rPr>
        <w:t>2.2 分值构成与评分标准</w:t>
      </w:r>
    </w:p>
    <w:p>
      <w:pPr>
        <w:pStyle w:val="92"/>
        <w:ind w:firstLine="420"/>
        <w:rPr>
          <w:color w:val="auto"/>
          <w:sz w:val="21"/>
          <w:szCs w:val="21"/>
          <w:highlight w:val="none"/>
        </w:rPr>
      </w:pPr>
      <w:r>
        <w:rPr>
          <w:rFonts w:hint="eastAsia"/>
          <w:color w:val="auto"/>
          <w:sz w:val="21"/>
          <w:szCs w:val="21"/>
          <w:highlight w:val="none"/>
        </w:rPr>
        <w:t>2.2.1 第一个信封评分分值构成</w:t>
      </w:r>
    </w:p>
    <w:p>
      <w:pPr>
        <w:pStyle w:val="92"/>
        <w:ind w:firstLine="420"/>
        <w:rPr>
          <w:color w:val="auto"/>
          <w:sz w:val="21"/>
          <w:szCs w:val="21"/>
          <w:highlight w:val="none"/>
        </w:rPr>
      </w:pPr>
      <w:r>
        <w:rPr>
          <w:rFonts w:hint="eastAsia"/>
          <w:color w:val="auto"/>
          <w:sz w:val="21"/>
          <w:szCs w:val="21"/>
          <w:highlight w:val="none"/>
        </w:rPr>
        <w:t>（1）施工组织设计:见评标办法前附表;</w:t>
      </w:r>
    </w:p>
    <w:p>
      <w:pPr>
        <w:pStyle w:val="92"/>
        <w:ind w:firstLine="420"/>
        <w:rPr>
          <w:color w:val="auto"/>
          <w:sz w:val="21"/>
          <w:szCs w:val="21"/>
          <w:highlight w:val="none"/>
        </w:rPr>
      </w:pPr>
      <w:r>
        <w:rPr>
          <w:rFonts w:hint="eastAsia"/>
          <w:color w:val="auto"/>
          <w:sz w:val="21"/>
          <w:szCs w:val="21"/>
          <w:highlight w:val="none"/>
        </w:rPr>
        <w:t>（2）主要人员:见评标办法前附表;</w:t>
      </w:r>
    </w:p>
    <w:p>
      <w:pPr>
        <w:pStyle w:val="92"/>
        <w:ind w:firstLine="420"/>
        <w:rPr>
          <w:color w:val="auto"/>
          <w:sz w:val="21"/>
          <w:szCs w:val="21"/>
          <w:highlight w:val="none"/>
        </w:rPr>
      </w:pPr>
      <w:r>
        <w:rPr>
          <w:rFonts w:hint="eastAsia"/>
          <w:color w:val="auto"/>
          <w:sz w:val="21"/>
          <w:szCs w:val="21"/>
          <w:highlight w:val="none"/>
        </w:rPr>
        <w:t>（3）其他评分因素: 见评标办法前附表。</w:t>
      </w:r>
    </w:p>
    <w:p>
      <w:pPr>
        <w:pStyle w:val="92"/>
        <w:ind w:firstLine="420"/>
        <w:rPr>
          <w:color w:val="auto"/>
          <w:sz w:val="21"/>
          <w:szCs w:val="21"/>
          <w:highlight w:val="none"/>
        </w:rPr>
      </w:pPr>
      <w:r>
        <w:rPr>
          <w:rFonts w:hint="eastAsia"/>
          <w:color w:val="auto"/>
          <w:sz w:val="21"/>
          <w:szCs w:val="21"/>
          <w:highlight w:val="none"/>
        </w:rPr>
        <w:t>2.2.2 第一个信封评分评分标准</w:t>
      </w:r>
    </w:p>
    <w:p>
      <w:pPr>
        <w:pStyle w:val="92"/>
        <w:ind w:firstLine="420"/>
        <w:rPr>
          <w:color w:val="auto"/>
          <w:sz w:val="21"/>
          <w:szCs w:val="21"/>
          <w:highlight w:val="none"/>
        </w:rPr>
      </w:pPr>
      <w:r>
        <w:rPr>
          <w:rFonts w:hint="eastAsia"/>
          <w:color w:val="auto"/>
          <w:sz w:val="21"/>
          <w:szCs w:val="21"/>
          <w:highlight w:val="none"/>
        </w:rPr>
        <w:t>（1）施工组织设计评分标准:见评标办法前附表;</w:t>
      </w:r>
    </w:p>
    <w:p>
      <w:pPr>
        <w:pStyle w:val="92"/>
        <w:ind w:firstLine="420"/>
        <w:rPr>
          <w:color w:val="auto"/>
          <w:sz w:val="21"/>
          <w:szCs w:val="21"/>
          <w:highlight w:val="none"/>
        </w:rPr>
      </w:pPr>
      <w:r>
        <w:rPr>
          <w:rFonts w:hint="eastAsia"/>
          <w:color w:val="auto"/>
          <w:sz w:val="21"/>
          <w:szCs w:val="21"/>
          <w:highlight w:val="none"/>
        </w:rPr>
        <w:t>（2）主要人员评分标准:见评标办法前附表;</w:t>
      </w:r>
    </w:p>
    <w:p>
      <w:pPr>
        <w:pStyle w:val="92"/>
        <w:ind w:firstLine="420"/>
        <w:rPr>
          <w:color w:val="auto"/>
          <w:sz w:val="21"/>
          <w:szCs w:val="21"/>
          <w:highlight w:val="none"/>
        </w:rPr>
      </w:pPr>
      <w:r>
        <w:rPr>
          <w:rFonts w:hint="eastAsia"/>
          <w:color w:val="auto"/>
          <w:sz w:val="21"/>
          <w:szCs w:val="21"/>
          <w:highlight w:val="none"/>
        </w:rPr>
        <w:t>（3）其他因素评分标准: 见评标办法前附表。</w:t>
      </w:r>
    </w:p>
    <w:p>
      <w:pPr>
        <w:pStyle w:val="92"/>
        <w:ind w:firstLine="420"/>
        <w:rPr>
          <w:color w:val="auto"/>
          <w:sz w:val="21"/>
          <w:szCs w:val="21"/>
          <w:highlight w:val="none"/>
        </w:rPr>
      </w:pPr>
      <w:r>
        <w:rPr>
          <w:rFonts w:hint="eastAsia"/>
          <w:color w:val="auto"/>
          <w:sz w:val="21"/>
          <w:szCs w:val="21"/>
          <w:highlight w:val="none"/>
        </w:rPr>
        <w:t>2.2.3 第二个信封详细评审标准:见评标办法前附表。</w:t>
      </w:r>
    </w:p>
    <w:p>
      <w:pPr>
        <w:pStyle w:val="92"/>
        <w:ind w:firstLine="420"/>
        <w:rPr>
          <w:color w:val="auto"/>
          <w:sz w:val="21"/>
          <w:szCs w:val="21"/>
          <w:highlight w:val="none"/>
        </w:rPr>
      </w:pPr>
      <w:r>
        <w:rPr>
          <w:rFonts w:hint="eastAsia"/>
          <w:color w:val="auto"/>
          <w:sz w:val="21"/>
          <w:szCs w:val="21"/>
          <w:highlight w:val="none"/>
        </w:rPr>
        <w:t>3. 评标程序</w:t>
      </w:r>
    </w:p>
    <w:p>
      <w:pPr>
        <w:pStyle w:val="92"/>
        <w:ind w:firstLine="420"/>
        <w:rPr>
          <w:color w:val="auto"/>
          <w:sz w:val="21"/>
          <w:szCs w:val="21"/>
          <w:highlight w:val="none"/>
        </w:rPr>
      </w:pPr>
      <w:r>
        <w:rPr>
          <w:rFonts w:hint="eastAsia"/>
          <w:color w:val="auto"/>
          <w:sz w:val="21"/>
          <w:szCs w:val="21"/>
          <w:highlight w:val="none"/>
        </w:rPr>
        <w:t>3.1第一个信封初步评审</w:t>
      </w:r>
    </w:p>
    <w:p>
      <w:pPr>
        <w:pStyle w:val="92"/>
        <w:ind w:firstLine="420"/>
        <w:rPr>
          <w:color w:val="auto"/>
          <w:sz w:val="21"/>
          <w:szCs w:val="21"/>
          <w:highlight w:val="none"/>
        </w:rPr>
      </w:pPr>
      <w:r>
        <w:rPr>
          <w:rFonts w:hint="eastAsia"/>
          <w:color w:val="auto"/>
          <w:sz w:val="21"/>
          <w:szCs w:val="21"/>
          <w:highlight w:val="none"/>
        </w:rPr>
        <w:t>3.1.1评标委员会依据本章第2.1款规定标准对投标文件第一个信封(商务及技术文件)进行初步评审。有一项不符合评审标准的,评标委员会应否决其投标。</w:t>
      </w:r>
    </w:p>
    <w:p>
      <w:pPr>
        <w:pStyle w:val="92"/>
        <w:ind w:firstLine="420"/>
        <w:rPr>
          <w:color w:val="auto"/>
          <w:sz w:val="21"/>
          <w:szCs w:val="21"/>
          <w:highlight w:val="none"/>
        </w:rPr>
      </w:pPr>
      <w:r>
        <w:rPr>
          <w:rFonts w:hint="eastAsia"/>
          <w:color w:val="auto"/>
          <w:sz w:val="21"/>
          <w:szCs w:val="21"/>
          <w:highlight w:val="none"/>
        </w:rPr>
        <w:t>3.2第一信封详细评审</w:t>
      </w:r>
    </w:p>
    <w:p>
      <w:pPr>
        <w:pStyle w:val="92"/>
        <w:ind w:firstLine="420"/>
        <w:rPr>
          <w:color w:val="auto"/>
          <w:sz w:val="21"/>
          <w:szCs w:val="21"/>
          <w:highlight w:val="none"/>
        </w:rPr>
      </w:pPr>
      <w:r>
        <w:rPr>
          <w:rFonts w:hint="eastAsia"/>
          <w:color w:val="auto"/>
          <w:sz w:val="21"/>
          <w:szCs w:val="21"/>
          <w:highlight w:val="none"/>
        </w:rPr>
        <w:t>3.2.1评标委员会按本章第2.2款规定的量化因素和分值进行打分，并计算出各投标人的商务和技术得分。各评标委员会委员评分均保留至小数点后一位，且各评分因素、评分因素细分项得分一般不得低于其权重分值的60%。各评分因素得分为评标委员会各成员的打分平均值（若该评分因素含细分项，按评分因素细分项分别计算得分），评标委员会成员总数为7人或7人以上时，该平均值以去掉一个最高分和一个最低分后计算，计算保留小数点后两位，小数点后第三位“四舍五入”。评标委员会成员对某一项评分因素细分值的评分低于权重分值60%的，应在评标报告中作出说明。</w:t>
      </w:r>
    </w:p>
    <w:p>
      <w:pPr>
        <w:pStyle w:val="92"/>
        <w:ind w:firstLine="420"/>
        <w:rPr>
          <w:color w:val="auto"/>
          <w:sz w:val="21"/>
          <w:szCs w:val="21"/>
          <w:highlight w:val="none"/>
        </w:rPr>
      </w:pPr>
      <w:r>
        <w:rPr>
          <w:rFonts w:hint="eastAsia"/>
          <w:color w:val="auto"/>
          <w:sz w:val="21"/>
          <w:szCs w:val="21"/>
          <w:highlight w:val="none"/>
        </w:rPr>
        <w:t>（1）按本章第2.2.1项（1）目规定的评审因素和分值对施工组织设计部分计算出得分A；</w:t>
      </w:r>
    </w:p>
    <w:p>
      <w:pPr>
        <w:pStyle w:val="92"/>
        <w:ind w:firstLine="420"/>
        <w:rPr>
          <w:color w:val="auto"/>
          <w:sz w:val="21"/>
          <w:szCs w:val="21"/>
          <w:highlight w:val="none"/>
        </w:rPr>
      </w:pPr>
      <w:r>
        <w:rPr>
          <w:rFonts w:hint="eastAsia"/>
          <w:color w:val="auto"/>
          <w:sz w:val="21"/>
          <w:szCs w:val="21"/>
          <w:highlight w:val="none"/>
        </w:rPr>
        <w:t>（2）按本章第2.2.1项（2）目规定的评审因素和分值对主要人员部分计算出得分B；</w:t>
      </w:r>
    </w:p>
    <w:p>
      <w:pPr>
        <w:pStyle w:val="92"/>
        <w:ind w:firstLine="420"/>
        <w:rPr>
          <w:color w:val="auto"/>
          <w:sz w:val="21"/>
          <w:szCs w:val="21"/>
          <w:highlight w:val="none"/>
        </w:rPr>
      </w:pPr>
      <w:r>
        <w:rPr>
          <w:rFonts w:hint="eastAsia"/>
          <w:color w:val="auto"/>
          <w:sz w:val="21"/>
          <w:szCs w:val="21"/>
          <w:highlight w:val="none"/>
        </w:rPr>
        <w:t>（3）按本章第2.2.1项（3）目规定的评审因素和分值对其他部分计算出得分C；</w:t>
      </w:r>
    </w:p>
    <w:p>
      <w:pPr>
        <w:pStyle w:val="92"/>
        <w:ind w:firstLine="420"/>
        <w:rPr>
          <w:color w:val="auto"/>
          <w:sz w:val="21"/>
          <w:szCs w:val="21"/>
          <w:highlight w:val="none"/>
        </w:rPr>
      </w:pPr>
      <w:r>
        <w:rPr>
          <w:rFonts w:hint="eastAsia"/>
          <w:color w:val="auto"/>
          <w:sz w:val="21"/>
          <w:szCs w:val="21"/>
          <w:highlight w:val="none"/>
        </w:rPr>
        <w:t>3.2.2投标人的商务和技术得分分值计算保留小数点后两位，小数点后第三位“四舍五入”。</w:t>
      </w:r>
    </w:p>
    <w:p>
      <w:pPr>
        <w:pStyle w:val="92"/>
        <w:ind w:firstLine="420"/>
        <w:rPr>
          <w:color w:val="auto"/>
          <w:sz w:val="21"/>
          <w:szCs w:val="21"/>
          <w:highlight w:val="none"/>
        </w:rPr>
      </w:pPr>
      <w:r>
        <w:rPr>
          <w:rFonts w:hint="eastAsia"/>
          <w:color w:val="auto"/>
          <w:sz w:val="21"/>
          <w:szCs w:val="21"/>
          <w:highlight w:val="none"/>
        </w:rPr>
        <w:t>3.2.3投标人的商务和技术得分=A+B+C。</w:t>
      </w:r>
    </w:p>
    <w:p>
      <w:pPr>
        <w:pStyle w:val="92"/>
        <w:ind w:firstLine="420"/>
        <w:rPr>
          <w:color w:val="auto"/>
          <w:sz w:val="21"/>
          <w:szCs w:val="21"/>
          <w:highlight w:val="none"/>
        </w:rPr>
      </w:pPr>
      <w:r>
        <w:rPr>
          <w:rFonts w:hint="eastAsia"/>
          <w:color w:val="auto"/>
          <w:sz w:val="21"/>
          <w:szCs w:val="21"/>
          <w:highlight w:val="none"/>
        </w:rPr>
        <w:t>3.2.4评标委员会按照投标人的商务和技术得分由高到低排序，排名在评标办法前附表规定数量以内的投标人，其投标文件第一信封（商务及技术文件）通过详细评审。第一信封（商务及技术文件）评审得分中出现2份或2份以上得分相同时，则“施工组织设计”得分高的投标人排名在前；若仍不能确定的，则由评标委员会全体成员投票表决。通过第一信封详细评审的投标人名单一旦确定，评标结束前在任何情况下都不得由第一信封得分排名在后的投标人递补。</w:t>
      </w:r>
    </w:p>
    <w:p>
      <w:pPr>
        <w:pStyle w:val="92"/>
        <w:ind w:firstLine="420"/>
        <w:rPr>
          <w:color w:val="auto"/>
          <w:sz w:val="21"/>
          <w:szCs w:val="21"/>
          <w:highlight w:val="none"/>
        </w:rPr>
      </w:pPr>
      <w:r>
        <w:rPr>
          <w:rFonts w:hint="eastAsia"/>
          <w:color w:val="auto"/>
          <w:sz w:val="21"/>
          <w:szCs w:val="21"/>
          <w:highlight w:val="none"/>
        </w:rPr>
        <w:t>3.2.5通过投标文件第一信封（商务及技术文件）初步评审的投标人不少于3个且未超过评标办法前附表第3.2.4项规定数量的，均通过投标文件第一个信封（商务及技术文件）详细评审，不再对投标人的商务和技术文件进行打分。</w:t>
      </w:r>
    </w:p>
    <w:p>
      <w:pPr>
        <w:pStyle w:val="92"/>
        <w:ind w:firstLine="420"/>
        <w:rPr>
          <w:color w:val="auto"/>
          <w:sz w:val="21"/>
          <w:szCs w:val="21"/>
          <w:highlight w:val="none"/>
        </w:rPr>
      </w:pPr>
      <w:r>
        <w:rPr>
          <w:rFonts w:hint="eastAsia"/>
          <w:color w:val="auto"/>
          <w:sz w:val="21"/>
          <w:szCs w:val="21"/>
          <w:highlight w:val="none"/>
        </w:rPr>
        <w:t>通过投标文件第一信封（商务及技术文件）评审的投标人不足3家的，评标委员会可以否决全部投标；未否决全部投标的，评标委员会应当在评标报告中阐明理由，招标人可按照第二章“投标人须知”第5.1款规定的时间和地点对投标文件第二信封（报价文件）进行开标，但评标委员会在进行报价文件评审时仍有权否决全部投标；评标委员会未在报价文件评审时否决全部投标的，应当在评标报告中阐明理由并按以下原则推荐中标候选人：对通过第二信封形式与响应性评审的投标报价按从低到高顺序进行排序，推荐报价最低的投标人为该标段第一中标候选人，另一单位（如有）为第二中标候选人，但投标报价低于其成本的除外。</w:t>
      </w:r>
    </w:p>
    <w:p>
      <w:pPr>
        <w:pStyle w:val="92"/>
        <w:ind w:firstLine="420"/>
        <w:rPr>
          <w:color w:val="auto"/>
          <w:sz w:val="21"/>
          <w:szCs w:val="21"/>
          <w:highlight w:val="none"/>
        </w:rPr>
      </w:pPr>
      <w:r>
        <w:rPr>
          <w:rFonts w:hint="eastAsia"/>
          <w:color w:val="auto"/>
          <w:sz w:val="21"/>
          <w:szCs w:val="21"/>
          <w:highlight w:val="none"/>
        </w:rPr>
        <w:t>3.3第二信封开标</w:t>
      </w:r>
    </w:p>
    <w:p>
      <w:pPr>
        <w:pStyle w:val="92"/>
        <w:ind w:firstLine="420"/>
        <w:rPr>
          <w:color w:val="auto"/>
          <w:sz w:val="21"/>
          <w:szCs w:val="21"/>
          <w:highlight w:val="none"/>
        </w:rPr>
      </w:pPr>
      <w:r>
        <w:rPr>
          <w:rFonts w:hint="eastAsia"/>
          <w:color w:val="auto"/>
          <w:sz w:val="21"/>
          <w:szCs w:val="21"/>
          <w:highlight w:val="none"/>
        </w:rPr>
        <w:t>第一信封评审结束后，招标人将按照第二章“投标人须知”第 5.1款规定的时间和地点对通过投标文件第一信封（商务及技术文件）评审的投标文件第二信封（报价文件）进行开标。</w:t>
      </w:r>
    </w:p>
    <w:p>
      <w:pPr>
        <w:pStyle w:val="92"/>
        <w:ind w:firstLine="420"/>
        <w:rPr>
          <w:color w:val="auto"/>
          <w:sz w:val="21"/>
          <w:szCs w:val="21"/>
          <w:highlight w:val="none"/>
        </w:rPr>
      </w:pPr>
      <w:r>
        <w:rPr>
          <w:rFonts w:hint="eastAsia"/>
          <w:color w:val="auto"/>
          <w:sz w:val="21"/>
          <w:szCs w:val="21"/>
          <w:highlight w:val="none"/>
        </w:rPr>
        <w:t>3.4第二信封初步评审</w:t>
      </w:r>
    </w:p>
    <w:p>
      <w:pPr>
        <w:pStyle w:val="92"/>
        <w:ind w:firstLine="420"/>
        <w:rPr>
          <w:color w:val="auto"/>
          <w:sz w:val="21"/>
          <w:szCs w:val="21"/>
          <w:highlight w:val="none"/>
        </w:rPr>
      </w:pPr>
      <w:r>
        <w:rPr>
          <w:rFonts w:hint="eastAsia"/>
          <w:color w:val="auto"/>
          <w:sz w:val="21"/>
          <w:szCs w:val="21"/>
          <w:highlight w:val="none"/>
        </w:rPr>
        <w:t>3.4.1评标委员会依据本章第2.1.1项、第2.1.3项规定的评审标准对投标文件第二信封（报价文件）进行初步评审（二次评审）。有一项不符合评审标准的，评标委员会应否决其投标。</w:t>
      </w:r>
    </w:p>
    <w:p>
      <w:pPr>
        <w:pStyle w:val="92"/>
        <w:ind w:firstLine="420"/>
        <w:rPr>
          <w:color w:val="auto"/>
          <w:sz w:val="21"/>
          <w:szCs w:val="21"/>
          <w:highlight w:val="none"/>
        </w:rPr>
      </w:pPr>
      <w:r>
        <w:rPr>
          <w:rFonts w:hint="eastAsia"/>
          <w:color w:val="auto"/>
          <w:sz w:val="21"/>
          <w:szCs w:val="21"/>
          <w:highlight w:val="none"/>
        </w:rPr>
        <w:t>3.4.2 投标报价有算术错误的，评标委员会按以下原则对投标报价进行修正，修正的价格经投标人书面确认后具有约束力。投标人不接受修正价格的，评标委员会应否决其投标。</w:t>
      </w:r>
    </w:p>
    <w:p>
      <w:pPr>
        <w:pStyle w:val="92"/>
        <w:ind w:firstLine="420"/>
        <w:rPr>
          <w:color w:val="auto"/>
          <w:sz w:val="21"/>
          <w:szCs w:val="21"/>
          <w:highlight w:val="none"/>
        </w:rPr>
      </w:pPr>
      <w:r>
        <w:rPr>
          <w:rFonts w:hint="eastAsia"/>
          <w:color w:val="auto"/>
          <w:sz w:val="21"/>
          <w:szCs w:val="21"/>
          <w:highlight w:val="none"/>
        </w:rPr>
        <w:t xml:space="preserve">（1）投标文件中的大写金额与小写金额不一致的，以大写金额为准； </w:t>
      </w:r>
    </w:p>
    <w:p>
      <w:pPr>
        <w:pStyle w:val="92"/>
        <w:ind w:firstLine="420"/>
        <w:rPr>
          <w:color w:val="auto"/>
          <w:sz w:val="21"/>
          <w:szCs w:val="21"/>
          <w:highlight w:val="none"/>
        </w:rPr>
      </w:pPr>
      <w:r>
        <w:rPr>
          <w:rFonts w:hint="eastAsia"/>
          <w:color w:val="auto"/>
          <w:sz w:val="21"/>
          <w:szCs w:val="21"/>
          <w:highlight w:val="none"/>
        </w:rPr>
        <w:t xml:space="preserve"> 3.4.</w:t>
      </w:r>
      <w:r>
        <w:rPr>
          <w:color w:val="auto"/>
          <w:sz w:val="21"/>
          <w:szCs w:val="21"/>
          <w:highlight w:val="none"/>
        </w:rPr>
        <w:t>3</w:t>
      </w:r>
      <w:r>
        <w:rPr>
          <w:rFonts w:hint="eastAsia"/>
          <w:color w:val="auto"/>
          <w:sz w:val="21"/>
          <w:szCs w:val="21"/>
          <w:highlight w:val="none"/>
        </w:rPr>
        <w:t>修正后的最终投标报价若超过最高投标限价（如有），评标委员会应否决其投标。</w:t>
      </w:r>
    </w:p>
    <w:p>
      <w:pPr>
        <w:pStyle w:val="92"/>
        <w:ind w:firstLine="420"/>
        <w:rPr>
          <w:color w:val="auto"/>
          <w:sz w:val="21"/>
          <w:szCs w:val="21"/>
          <w:highlight w:val="none"/>
        </w:rPr>
      </w:pPr>
      <w:r>
        <w:rPr>
          <w:rFonts w:hint="eastAsia"/>
          <w:color w:val="auto"/>
          <w:sz w:val="21"/>
          <w:szCs w:val="21"/>
          <w:highlight w:val="none"/>
        </w:rPr>
        <w:t>3.5第二信封详细评审</w:t>
      </w:r>
    </w:p>
    <w:p>
      <w:pPr>
        <w:pStyle w:val="92"/>
        <w:ind w:firstLine="420"/>
        <w:rPr>
          <w:color w:val="auto"/>
          <w:sz w:val="21"/>
          <w:szCs w:val="21"/>
          <w:highlight w:val="none"/>
        </w:rPr>
      </w:pPr>
      <w:r>
        <w:rPr>
          <w:rFonts w:hint="eastAsia"/>
          <w:color w:val="auto"/>
          <w:sz w:val="21"/>
          <w:szCs w:val="21"/>
          <w:highlight w:val="none"/>
        </w:rPr>
        <w:t>3.5.1评标委员会按本章第2.2款规定的量化因素和标准进行打分，并计算出综合评估得分（即评标价得分）。</w:t>
      </w:r>
    </w:p>
    <w:p>
      <w:pPr>
        <w:pStyle w:val="92"/>
        <w:ind w:firstLine="420"/>
        <w:rPr>
          <w:color w:val="auto"/>
          <w:sz w:val="21"/>
          <w:szCs w:val="21"/>
          <w:highlight w:val="none"/>
        </w:rPr>
      </w:pPr>
      <w:r>
        <w:rPr>
          <w:rFonts w:hint="eastAsia"/>
          <w:color w:val="auto"/>
          <w:sz w:val="21"/>
          <w:szCs w:val="21"/>
          <w:highlight w:val="none"/>
        </w:rPr>
        <w:t>3.5.2投标人得分分值计算保留小数点后两位，小数点后第三位“四舍五入”。</w:t>
      </w:r>
    </w:p>
    <w:p>
      <w:pPr>
        <w:pStyle w:val="92"/>
        <w:ind w:firstLine="420"/>
        <w:rPr>
          <w:color w:val="auto"/>
          <w:sz w:val="21"/>
          <w:szCs w:val="21"/>
          <w:highlight w:val="none"/>
        </w:rPr>
      </w:pPr>
      <w:r>
        <w:rPr>
          <w:rFonts w:hint="eastAsia"/>
          <w:color w:val="auto"/>
          <w:sz w:val="21"/>
          <w:szCs w:val="21"/>
          <w:highlight w:val="none"/>
        </w:rPr>
        <w:t>3.5.3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pStyle w:val="92"/>
        <w:ind w:firstLine="420"/>
        <w:rPr>
          <w:color w:val="auto"/>
          <w:sz w:val="21"/>
          <w:szCs w:val="21"/>
          <w:highlight w:val="none"/>
        </w:rPr>
      </w:pPr>
      <w:r>
        <w:rPr>
          <w:rFonts w:hint="eastAsia"/>
          <w:color w:val="auto"/>
          <w:sz w:val="21"/>
          <w:szCs w:val="21"/>
          <w:highlight w:val="none"/>
        </w:rPr>
        <w:t>3.6投标文件相关信息的核查</w:t>
      </w:r>
    </w:p>
    <w:p>
      <w:pPr>
        <w:pStyle w:val="92"/>
        <w:ind w:firstLine="210" w:firstLineChars="100"/>
        <w:rPr>
          <w:color w:val="auto"/>
          <w:sz w:val="21"/>
          <w:szCs w:val="21"/>
          <w:highlight w:val="none"/>
        </w:rPr>
      </w:pPr>
      <w:r>
        <w:rPr>
          <w:rFonts w:hint="eastAsia"/>
          <w:color w:val="auto"/>
          <w:sz w:val="21"/>
          <w:szCs w:val="21"/>
          <w:highlight w:val="none"/>
        </w:rPr>
        <w:t>3.6.1</w:t>
      </w:r>
      <w:r>
        <w:rPr>
          <w:color w:val="auto"/>
          <w:sz w:val="21"/>
          <w:szCs w:val="21"/>
          <w:highlight w:val="none"/>
        </w:rPr>
        <w:t>在评标过程中，评标委员会应查询交通运输主管部门“公路建设市场信用信息管理系统”</w:t>
      </w:r>
      <w:r>
        <w:rPr>
          <w:rFonts w:hint="eastAsia"/>
          <w:color w:val="auto"/>
          <w:sz w:val="21"/>
          <w:szCs w:val="21"/>
          <w:highlight w:val="none"/>
        </w:rPr>
        <w:t>或</w:t>
      </w:r>
      <w:r>
        <w:rPr>
          <w:color w:val="auto"/>
          <w:sz w:val="21"/>
          <w:szCs w:val="21"/>
          <w:highlight w:val="none"/>
        </w:rPr>
        <w:t>“</w:t>
      </w:r>
      <w:r>
        <w:rPr>
          <w:rFonts w:hint="eastAsia"/>
          <w:color w:val="auto"/>
          <w:sz w:val="21"/>
          <w:szCs w:val="21"/>
          <w:highlight w:val="none"/>
        </w:rPr>
        <w:t>公共资源交易平台</w:t>
      </w:r>
      <w:r>
        <w:rPr>
          <w:color w:val="auto"/>
          <w:sz w:val="21"/>
          <w:szCs w:val="21"/>
          <w:highlight w:val="none"/>
        </w:rPr>
        <w:t>”，</w:t>
      </w:r>
      <w:r>
        <w:rPr>
          <w:rFonts w:hint="eastAsia"/>
          <w:color w:val="auto"/>
          <w:sz w:val="21"/>
          <w:szCs w:val="21"/>
          <w:highlight w:val="none"/>
        </w:rPr>
        <w:t>或核查投标人原件，以</w:t>
      </w:r>
      <w:r>
        <w:rPr>
          <w:color w:val="auto"/>
          <w:sz w:val="21"/>
          <w:szCs w:val="21"/>
          <w:highlight w:val="none"/>
        </w:rPr>
        <w:t>对投标人的资质、业绩、主要人员资历等信息进行核实。若投标文件载明的信息与</w:t>
      </w:r>
      <w:r>
        <w:rPr>
          <w:rFonts w:hint="eastAsia"/>
          <w:color w:val="auto"/>
          <w:sz w:val="21"/>
          <w:szCs w:val="21"/>
          <w:highlight w:val="none"/>
        </w:rPr>
        <w:t>上平台</w:t>
      </w:r>
      <w:r>
        <w:rPr>
          <w:color w:val="auto"/>
          <w:sz w:val="21"/>
          <w:szCs w:val="21"/>
          <w:highlight w:val="none"/>
        </w:rPr>
        <w:t>发布的信息</w:t>
      </w:r>
      <w:r>
        <w:rPr>
          <w:rFonts w:hint="eastAsia"/>
          <w:color w:val="auto"/>
          <w:sz w:val="21"/>
          <w:szCs w:val="21"/>
          <w:highlight w:val="none"/>
        </w:rPr>
        <w:t>或原件</w:t>
      </w:r>
      <w:r>
        <w:rPr>
          <w:color w:val="auto"/>
          <w:sz w:val="21"/>
          <w:szCs w:val="21"/>
          <w:highlight w:val="none"/>
        </w:rPr>
        <w:t>不符，使得投标人的资格条件不符合招标文件规定的， 评标委员会应否决其投标。</w:t>
      </w:r>
    </w:p>
    <w:p>
      <w:pPr>
        <w:pStyle w:val="92"/>
        <w:ind w:firstLine="420"/>
        <w:rPr>
          <w:color w:val="auto"/>
          <w:sz w:val="21"/>
          <w:szCs w:val="21"/>
          <w:highlight w:val="none"/>
        </w:rPr>
      </w:pPr>
    </w:p>
    <w:p>
      <w:pPr>
        <w:pStyle w:val="92"/>
        <w:ind w:firstLine="420"/>
        <w:rPr>
          <w:color w:val="auto"/>
          <w:sz w:val="21"/>
          <w:szCs w:val="21"/>
          <w:highlight w:val="none"/>
        </w:rPr>
      </w:pPr>
      <w:r>
        <w:rPr>
          <w:rFonts w:hint="eastAsia"/>
          <w:color w:val="auto"/>
          <w:sz w:val="21"/>
          <w:szCs w:val="21"/>
          <w:highlight w:val="none"/>
        </w:rPr>
        <w:t>3.6.2评标委员会应对在评标过程中发现的投标人与投标人之间、投标人与招标人之间存在的串通投标的情形进行评审和认定。投标人存在串通投标、弄虚作假、行贿等违法行为的，评标委员会应否决其投标。</w:t>
      </w:r>
    </w:p>
    <w:p>
      <w:pPr>
        <w:pStyle w:val="92"/>
        <w:ind w:firstLine="420"/>
        <w:rPr>
          <w:color w:val="auto"/>
          <w:sz w:val="21"/>
          <w:szCs w:val="21"/>
          <w:highlight w:val="none"/>
        </w:rPr>
      </w:pPr>
      <w:r>
        <w:rPr>
          <w:rFonts w:hint="eastAsia"/>
          <w:color w:val="auto"/>
          <w:sz w:val="21"/>
          <w:szCs w:val="21"/>
          <w:highlight w:val="none"/>
        </w:rPr>
        <w:t>（1）有下列情形之一的，属于投标人相互串通投标：</w:t>
      </w:r>
    </w:p>
    <w:p>
      <w:pPr>
        <w:pStyle w:val="92"/>
        <w:ind w:firstLine="420"/>
        <w:rPr>
          <w:color w:val="auto"/>
          <w:sz w:val="21"/>
          <w:szCs w:val="21"/>
          <w:highlight w:val="none"/>
        </w:rPr>
      </w:pPr>
      <w:r>
        <w:rPr>
          <w:rFonts w:hint="eastAsia"/>
          <w:color w:val="auto"/>
          <w:sz w:val="21"/>
          <w:szCs w:val="21"/>
          <w:highlight w:val="none"/>
        </w:rPr>
        <w:t>a.投标人之间协商投标报价等投标文件的实质性内容；</w:t>
      </w:r>
    </w:p>
    <w:p>
      <w:pPr>
        <w:pStyle w:val="92"/>
        <w:ind w:firstLine="420"/>
        <w:rPr>
          <w:color w:val="auto"/>
          <w:sz w:val="21"/>
          <w:szCs w:val="21"/>
          <w:highlight w:val="none"/>
        </w:rPr>
      </w:pPr>
      <w:r>
        <w:rPr>
          <w:rFonts w:hint="eastAsia"/>
          <w:color w:val="auto"/>
          <w:sz w:val="21"/>
          <w:szCs w:val="21"/>
          <w:highlight w:val="none"/>
        </w:rPr>
        <w:t>b.投标人之间约定中标人；</w:t>
      </w:r>
    </w:p>
    <w:p>
      <w:pPr>
        <w:pStyle w:val="92"/>
        <w:ind w:firstLine="420"/>
        <w:rPr>
          <w:color w:val="auto"/>
          <w:sz w:val="21"/>
          <w:szCs w:val="21"/>
          <w:highlight w:val="none"/>
        </w:rPr>
      </w:pPr>
      <w:r>
        <w:rPr>
          <w:rFonts w:hint="eastAsia"/>
          <w:color w:val="auto"/>
          <w:sz w:val="21"/>
          <w:szCs w:val="21"/>
          <w:highlight w:val="none"/>
        </w:rPr>
        <w:t>c.投标人之间约定部分投标人放弃投标或中标；</w:t>
      </w:r>
    </w:p>
    <w:p>
      <w:pPr>
        <w:pStyle w:val="92"/>
        <w:ind w:firstLine="420"/>
        <w:rPr>
          <w:color w:val="auto"/>
          <w:sz w:val="21"/>
          <w:szCs w:val="21"/>
          <w:highlight w:val="none"/>
        </w:rPr>
      </w:pPr>
      <w:r>
        <w:rPr>
          <w:rFonts w:hint="eastAsia"/>
          <w:color w:val="auto"/>
          <w:sz w:val="21"/>
          <w:szCs w:val="21"/>
          <w:highlight w:val="none"/>
        </w:rPr>
        <w:t>d.属于同一集团、协会、商会等组织成员的投标人按照该组织要求协同投标；</w:t>
      </w:r>
    </w:p>
    <w:p>
      <w:pPr>
        <w:pStyle w:val="92"/>
        <w:ind w:firstLine="420"/>
        <w:rPr>
          <w:color w:val="auto"/>
          <w:sz w:val="21"/>
          <w:szCs w:val="21"/>
          <w:highlight w:val="none"/>
        </w:rPr>
      </w:pPr>
      <w:r>
        <w:rPr>
          <w:rFonts w:hint="eastAsia"/>
          <w:color w:val="auto"/>
          <w:sz w:val="21"/>
          <w:szCs w:val="21"/>
          <w:highlight w:val="none"/>
        </w:rPr>
        <w:t>e.投标人之间为谋取中标或排斥特定投标人而采取的其他联合行动。</w:t>
      </w:r>
    </w:p>
    <w:p>
      <w:pPr>
        <w:pStyle w:val="92"/>
        <w:ind w:firstLine="420"/>
        <w:rPr>
          <w:color w:val="auto"/>
          <w:sz w:val="21"/>
          <w:szCs w:val="21"/>
          <w:highlight w:val="none"/>
        </w:rPr>
      </w:pPr>
      <w:r>
        <w:rPr>
          <w:rFonts w:hint="eastAsia"/>
          <w:color w:val="auto"/>
          <w:sz w:val="21"/>
          <w:szCs w:val="21"/>
          <w:highlight w:val="none"/>
        </w:rPr>
        <w:t>（2）有下列情形之一的，视为投标人相互串通投标：</w:t>
      </w:r>
    </w:p>
    <w:p>
      <w:pPr>
        <w:pStyle w:val="92"/>
        <w:ind w:firstLine="420"/>
        <w:rPr>
          <w:color w:val="auto"/>
          <w:sz w:val="21"/>
          <w:szCs w:val="21"/>
          <w:highlight w:val="none"/>
        </w:rPr>
      </w:pPr>
      <w:r>
        <w:rPr>
          <w:rFonts w:hint="eastAsia"/>
          <w:color w:val="auto"/>
          <w:sz w:val="21"/>
          <w:szCs w:val="21"/>
          <w:highlight w:val="none"/>
        </w:rPr>
        <w:t>a.不同投标人的投标文件由同一单位或个人编制；</w:t>
      </w:r>
    </w:p>
    <w:p>
      <w:pPr>
        <w:pStyle w:val="92"/>
        <w:ind w:firstLine="420"/>
        <w:rPr>
          <w:color w:val="auto"/>
          <w:sz w:val="21"/>
          <w:szCs w:val="21"/>
          <w:highlight w:val="none"/>
        </w:rPr>
      </w:pPr>
      <w:r>
        <w:rPr>
          <w:rFonts w:hint="eastAsia"/>
          <w:color w:val="auto"/>
          <w:sz w:val="21"/>
          <w:szCs w:val="21"/>
          <w:highlight w:val="none"/>
        </w:rPr>
        <w:t>b.不同投标人委托同一单位或个人办理投标事宜；</w:t>
      </w:r>
    </w:p>
    <w:p>
      <w:pPr>
        <w:pStyle w:val="92"/>
        <w:ind w:firstLine="420"/>
        <w:rPr>
          <w:color w:val="auto"/>
          <w:sz w:val="21"/>
          <w:szCs w:val="21"/>
          <w:highlight w:val="none"/>
        </w:rPr>
      </w:pPr>
      <w:r>
        <w:rPr>
          <w:rFonts w:hint="eastAsia"/>
          <w:color w:val="auto"/>
          <w:sz w:val="21"/>
          <w:szCs w:val="21"/>
          <w:highlight w:val="none"/>
        </w:rPr>
        <w:t>c.不同投标人的投标文件载明的项目管理成员为同一人；</w:t>
      </w:r>
    </w:p>
    <w:p>
      <w:pPr>
        <w:pStyle w:val="92"/>
        <w:ind w:firstLine="420"/>
        <w:rPr>
          <w:color w:val="auto"/>
          <w:sz w:val="21"/>
          <w:szCs w:val="21"/>
          <w:highlight w:val="none"/>
        </w:rPr>
      </w:pPr>
      <w:r>
        <w:rPr>
          <w:rFonts w:hint="eastAsia"/>
          <w:color w:val="auto"/>
          <w:sz w:val="21"/>
          <w:szCs w:val="21"/>
          <w:highlight w:val="none"/>
        </w:rPr>
        <w:t>d.不同投标人的投标文件异常一致或投标报价呈规律性差异；</w:t>
      </w:r>
    </w:p>
    <w:p>
      <w:pPr>
        <w:pStyle w:val="92"/>
        <w:ind w:firstLine="420"/>
        <w:rPr>
          <w:color w:val="auto"/>
          <w:sz w:val="21"/>
          <w:szCs w:val="21"/>
          <w:highlight w:val="none"/>
        </w:rPr>
      </w:pPr>
      <w:r>
        <w:rPr>
          <w:rFonts w:hint="eastAsia"/>
          <w:color w:val="auto"/>
          <w:sz w:val="21"/>
          <w:szCs w:val="21"/>
          <w:highlight w:val="none"/>
        </w:rPr>
        <w:t>e.不同投标人的投标文件相互混装；</w:t>
      </w:r>
    </w:p>
    <w:p>
      <w:pPr>
        <w:pStyle w:val="92"/>
        <w:ind w:firstLine="420"/>
        <w:rPr>
          <w:color w:val="auto"/>
          <w:sz w:val="21"/>
          <w:szCs w:val="21"/>
          <w:highlight w:val="none"/>
        </w:rPr>
      </w:pPr>
      <w:r>
        <w:rPr>
          <w:rFonts w:hint="eastAsia"/>
          <w:color w:val="auto"/>
          <w:sz w:val="21"/>
          <w:szCs w:val="21"/>
          <w:highlight w:val="none"/>
        </w:rPr>
        <w:t>f.不同投标人的投标保证金从同一单位或个人的账户转出。</w:t>
      </w:r>
    </w:p>
    <w:p>
      <w:pPr>
        <w:pStyle w:val="92"/>
        <w:ind w:firstLine="420"/>
        <w:rPr>
          <w:color w:val="auto"/>
          <w:sz w:val="21"/>
          <w:szCs w:val="21"/>
          <w:highlight w:val="none"/>
        </w:rPr>
      </w:pPr>
      <w:r>
        <w:rPr>
          <w:rFonts w:hint="eastAsia"/>
          <w:color w:val="auto"/>
          <w:sz w:val="21"/>
          <w:szCs w:val="21"/>
          <w:highlight w:val="none"/>
        </w:rPr>
        <w:t>（3）有下列情形之一的，属于招标人与投标人串通投标：</w:t>
      </w:r>
    </w:p>
    <w:p>
      <w:pPr>
        <w:pStyle w:val="92"/>
        <w:ind w:firstLine="420"/>
        <w:rPr>
          <w:color w:val="auto"/>
          <w:sz w:val="21"/>
          <w:szCs w:val="21"/>
          <w:highlight w:val="none"/>
        </w:rPr>
      </w:pPr>
      <w:r>
        <w:rPr>
          <w:rFonts w:hint="eastAsia"/>
          <w:color w:val="auto"/>
          <w:sz w:val="21"/>
          <w:szCs w:val="21"/>
          <w:highlight w:val="none"/>
        </w:rPr>
        <w:t>a.招标人在开标前开启投标文件并将有关管息泄露给其他投标人；</w:t>
      </w:r>
    </w:p>
    <w:p>
      <w:pPr>
        <w:pStyle w:val="92"/>
        <w:ind w:firstLine="420"/>
        <w:rPr>
          <w:color w:val="auto"/>
          <w:sz w:val="21"/>
          <w:szCs w:val="21"/>
          <w:highlight w:val="none"/>
        </w:rPr>
      </w:pPr>
      <w:r>
        <w:rPr>
          <w:rFonts w:hint="eastAsia"/>
          <w:color w:val="auto"/>
          <w:sz w:val="21"/>
          <w:szCs w:val="21"/>
          <w:highlight w:val="none"/>
        </w:rPr>
        <w:t>b.招标人直接或间接向投标人泄露标底、评标委员会成员等信息；</w:t>
      </w:r>
    </w:p>
    <w:p>
      <w:pPr>
        <w:pStyle w:val="92"/>
        <w:ind w:firstLine="420"/>
        <w:rPr>
          <w:color w:val="auto"/>
          <w:sz w:val="21"/>
          <w:szCs w:val="21"/>
          <w:highlight w:val="none"/>
        </w:rPr>
      </w:pPr>
      <w:r>
        <w:rPr>
          <w:rFonts w:hint="eastAsia"/>
          <w:color w:val="auto"/>
          <w:sz w:val="21"/>
          <w:szCs w:val="21"/>
          <w:highlight w:val="none"/>
        </w:rPr>
        <w:t>c.招标人明示或暗示投标人压低或抬高投标报价；</w:t>
      </w:r>
    </w:p>
    <w:p>
      <w:pPr>
        <w:pStyle w:val="92"/>
        <w:ind w:firstLine="420"/>
        <w:rPr>
          <w:color w:val="auto"/>
          <w:sz w:val="21"/>
          <w:szCs w:val="21"/>
          <w:highlight w:val="none"/>
        </w:rPr>
      </w:pPr>
      <w:r>
        <w:rPr>
          <w:rFonts w:hint="eastAsia"/>
          <w:color w:val="auto"/>
          <w:sz w:val="21"/>
          <w:szCs w:val="21"/>
          <w:highlight w:val="none"/>
        </w:rPr>
        <w:t>d.招标人授意投标人撤换、修改投标文件；</w:t>
      </w:r>
    </w:p>
    <w:p>
      <w:pPr>
        <w:pStyle w:val="92"/>
        <w:ind w:firstLine="420"/>
        <w:rPr>
          <w:color w:val="auto"/>
          <w:sz w:val="21"/>
          <w:szCs w:val="21"/>
          <w:highlight w:val="none"/>
        </w:rPr>
      </w:pPr>
      <w:r>
        <w:rPr>
          <w:rFonts w:hint="eastAsia"/>
          <w:color w:val="auto"/>
          <w:sz w:val="21"/>
          <w:szCs w:val="21"/>
          <w:highlight w:val="none"/>
        </w:rPr>
        <w:t>e.招标人明示或暗示投标人为特定投标人中标提供方便；</w:t>
      </w:r>
    </w:p>
    <w:p>
      <w:pPr>
        <w:pStyle w:val="92"/>
        <w:ind w:firstLine="420"/>
        <w:rPr>
          <w:color w:val="auto"/>
          <w:sz w:val="21"/>
          <w:szCs w:val="21"/>
          <w:highlight w:val="none"/>
        </w:rPr>
      </w:pPr>
      <w:r>
        <w:rPr>
          <w:rFonts w:hint="eastAsia"/>
          <w:color w:val="auto"/>
          <w:sz w:val="21"/>
          <w:szCs w:val="21"/>
          <w:highlight w:val="none"/>
        </w:rPr>
        <w:t>f.招标人与投标人为谋求特定投标人中标而采取的其他串通行为。</w:t>
      </w:r>
    </w:p>
    <w:p>
      <w:pPr>
        <w:pStyle w:val="92"/>
        <w:ind w:firstLine="420"/>
        <w:rPr>
          <w:color w:val="auto"/>
          <w:sz w:val="21"/>
          <w:szCs w:val="21"/>
          <w:highlight w:val="none"/>
        </w:rPr>
      </w:pPr>
      <w:r>
        <w:rPr>
          <w:rFonts w:hint="eastAsia"/>
          <w:color w:val="auto"/>
          <w:sz w:val="21"/>
          <w:szCs w:val="21"/>
          <w:highlight w:val="none"/>
        </w:rPr>
        <w:t>（4）投标人有下列情形之一的，属于弄虚作假的行为</w:t>
      </w:r>
    </w:p>
    <w:p>
      <w:pPr>
        <w:pStyle w:val="92"/>
        <w:ind w:firstLine="420"/>
        <w:rPr>
          <w:color w:val="auto"/>
          <w:sz w:val="21"/>
          <w:szCs w:val="21"/>
          <w:highlight w:val="none"/>
        </w:rPr>
      </w:pPr>
      <w:r>
        <w:rPr>
          <w:rFonts w:hint="eastAsia"/>
          <w:color w:val="auto"/>
          <w:sz w:val="21"/>
          <w:szCs w:val="21"/>
          <w:highlight w:val="none"/>
        </w:rPr>
        <w:t>a.使用通过受让或租借等方式获取的资格、资质证书投标；</w:t>
      </w:r>
    </w:p>
    <w:p>
      <w:pPr>
        <w:pStyle w:val="92"/>
        <w:ind w:firstLine="420"/>
        <w:rPr>
          <w:color w:val="auto"/>
          <w:sz w:val="21"/>
          <w:szCs w:val="21"/>
          <w:highlight w:val="none"/>
        </w:rPr>
      </w:pPr>
      <w:r>
        <w:rPr>
          <w:rFonts w:hint="eastAsia"/>
          <w:color w:val="auto"/>
          <w:sz w:val="21"/>
          <w:szCs w:val="21"/>
          <w:highlight w:val="none"/>
        </w:rPr>
        <w:t>b.使用伪造、变造的许可证件；</w:t>
      </w:r>
    </w:p>
    <w:p>
      <w:pPr>
        <w:pStyle w:val="92"/>
        <w:ind w:firstLine="420"/>
        <w:rPr>
          <w:color w:val="auto"/>
          <w:sz w:val="21"/>
          <w:szCs w:val="21"/>
          <w:highlight w:val="none"/>
        </w:rPr>
      </w:pPr>
      <w:r>
        <w:rPr>
          <w:rFonts w:hint="eastAsia"/>
          <w:color w:val="auto"/>
          <w:sz w:val="21"/>
          <w:szCs w:val="21"/>
          <w:highlight w:val="none"/>
        </w:rPr>
        <w:t>c.提供虚假的财务状况或业绩；</w:t>
      </w:r>
    </w:p>
    <w:p>
      <w:pPr>
        <w:pStyle w:val="92"/>
        <w:ind w:firstLine="420"/>
        <w:rPr>
          <w:color w:val="auto"/>
          <w:sz w:val="21"/>
          <w:szCs w:val="21"/>
          <w:highlight w:val="none"/>
        </w:rPr>
      </w:pPr>
      <w:r>
        <w:rPr>
          <w:rFonts w:hint="eastAsia"/>
          <w:color w:val="auto"/>
          <w:sz w:val="21"/>
          <w:szCs w:val="21"/>
          <w:highlight w:val="none"/>
        </w:rPr>
        <w:t>d.提供虚假的项目负责人或主要技术人员简历、劳动关系证明；</w:t>
      </w:r>
    </w:p>
    <w:p>
      <w:pPr>
        <w:pStyle w:val="92"/>
        <w:ind w:firstLine="420"/>
        <w:rPr>
          <w:color w:val="auto"/>
          <w:sz w:val="21"/>
          <w:szCs w:val="21"/>
          <w:highlight w:val="none"/>
        </w:rPr>
      </w:pPr>
      <w:r>
        <w:rPr>
          <w:rFonts w:hint="eastAsia"/>
          <w:color w:val="auto"/>
          <w:sz w:val="21"/>
          <w:szCs w:val="21"/>
          <w:highlight w:val="none"/>
        </w:rPr>
        <w:t>e.提供虚假的信用状况；</w:t>
      </w:r>
    </w:p>
    <w:p>
      <w:pPr>
        <w:pStyle w:val="92"/>
        <w:ind w:firstLine="420"/>
        <w:rPr>
          <w:color w:val="auto"/>
          <w:sz w:val="21"/>
          <w:szCs w:val="21"/>
          <w:highlight w:val="none"/>
        </w:rPr>
      </w:pPr>
      <w:r>
        <w:rPr>
          <w:rFonts w:hint="eastAsia"/>
          <w:color w:val="auto"/>
          <w:sz w:val="21"/>
          <w:szCs w:val="21"/>
          <w:highlight w:val="none"/>
        </w:rPr>
        <w:t>f其他弄虚作假的行为。</w:t>
      </w:r>
    </w:p>
    <w:p>
      <w:pPr>
        <w:pStyle w:val="92"/>
        <w:ind w:firstLine="420"/>
        <w:rPr>
          <w:color w:val="auto"/>
          <w:sz w:val="21"/>
          <w:szCs w:val="21"/>
          <w:highlight w:val="none"/>
        </w:rPr>
      </w:pPr>
      <w:r>
        <w:rPr>
          <w:rFonts w:hint="eastAsia"/>
          <w:color w:val="auto"/>
          <w:sz w:val="21"/>
          <w:szCs w:val="21"/>
          <w:highlight w:val="none"/>
        </w:rPr>
        <w:t>3.7投标文件的澄清和说明</w:t>
      </w:r>
    </w:p>
    <w:p>
      <w:pPr>
        <w:pStyle w:val="92"/>
        <w:ind w:firstLine="420"/>
        <w:rPr>
          <w:color w:val="auto"/>
          <w:sz w:val="21"/>
          <w:szCs w:val="21"/>
          <w:highlight w:val="none"/>
        </w:rPr>
      </w:pPr>
      <w:r>
        <w:rPr>
          <w:rFonts w:hint="eastAsia"/>
          <w:color w:val="auto"/>
          <w:sz w:val="21"/>
          <w:szCs w:val="21"/>
          <w:highlight w:val="none"/>
        </w:rPr>
        <w:t>3.7.1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92"/>
        <w:ind w:firstLine="420"/>
        <w:rPr>
          <w:color w:val="auto"/>
          <w:sz w:val="21"/>
          <w:szCs w:val="21"/>
          <w:highlight w:val="none"/>
        </w:rPr>
      </w:pPr>
      <w:r>
        <w:rPr>
          <w:rFonts w:hint="eastAsia"/>
          <w:color w:val="auto"/>
          <w:sz w:val="21"/>
          <w:szCs w:val="21"/>
          <w:highlight w:val="none"/>
        </w:rPr>
        <w:t>3.7.2澄清和说明不得超出投标文件的范围或改变投标文件的实质性内容（算术性错误的修正除外）。投标人的书面澄清、说明属于投标文件的组成部分。</w:t>
      </w:r>
    </w:p>
    <w:p>
      <w:pPr>
        <w:pStyle w:val="92"/>
        <w:ind w:firstLine="420"/>
        <w:rPr>
          <w:color w:val="auto"/>
          <w:sz w:val="21"/>
          <w:szCs w:val="21"/>
          <w:highlight w:val="none"/>
        </w:rPr>
      </w:pPr>
      <w:r>
        <w:rPr>
          <w:rFonts w:hint="eastAsia"/>
          <w:color w:val="auto"/>
          <w:sz w:val="21"/>
          <w:szCs w:val="21"/>
          <w:highlight w:val="none"/>
        </w:rPr>
        <w:t>3.7.3评标委员会不得暗示或诱导投标人作出澄清、说明，对投标人提交的澄清说明有疑问的，可以要求投标人进一步澄清或说明，直至满足评标委员会的要求。</w:t>
      </w:r>
    </w:p>
    <w:p>
      <w:pPr>
        <w:pStyle w:val="92"/>
        <w:ind w:firstLine="420"/>
        <w:rPr>
          <w:color w:val="auto"/>
          <w:sz w:val="21"/>
          <w:szCs w:val="21"/>
          <w:highlight w:val="none"/>
        </w:rPr>
      </w:pPr>
      <w:r>
        <w:rPr>
          <w:rFonts w:hint="eastAsia"/>
          <w:color w:val="auto"/>
          <w:sz w:val="21"/>
          <w:szCs w:val="21"/>
          <w:highlight w:val="none"/>
        </w:rPr>
        <w:t>3.7.4凡超出招标文件规定的或给发包人带来未曾要求的利益的变化、偏差或其他因素在评标时不予考虑。</w:t>
      </w:r>
    </w:p>
    <w:p>
      <w:pPr>
        <w:pStyle w:val="92"/>
        <w:ind w:firstLine="420"/>
        <w:rPr>
          <w:color w:val="auto"/>
          <w:sz w:val="21"/>
          <w:szCs w:val="21"/>
          <w:highlight w:val="none"/>
        </w:rPr>
      </w:pPr>
      <w:r>
        <w:rPr>
          <w:rFonts w:hint="eastAsia"/>
          <w:color w:val="auto"/>
          <w:sz w:val="21"/>
          <w:szCs w:val="21"/>
          <w:highlight w:val="none"/>
        </w:rPr>
        <w:t>3.8不得否决投标的情形</w:t>
      </w:r>
    </w:p>
    <w:p>
      <w:pPr>
        <w:pStyle w:val="92"/>
        <w:ind w:firstLine="420"/>
        <w:rPr>
          <w:color w:val="auto"/>
          <w:sz w:val="21"/>
          <w:szCs w:val="21"/>
          <w:highlight w:val="none"/>
        </w:rPr>
      </w:pPr>
      <w:r>
        <w:rPr>
          <w:rFonts w:hint="eastAsia"/>
          <w:color w:val="auto"/>
          <w:sz w:val="21"/>
          <w:szCs w:val="21"/>
          <w:highlight w:val="none"/>
        </w:rPr>
        <w:t>投标文件存在第二章“投标人须知”第1.12.3项所列情形的，均视为细微偏差，评标委员会不得否决投标人的投标，应按照第二章“投标人须知”第1.12.4项规定的原则处理。</w:t>
      </w:r>
    </w:p>
    <w:p>
      <w:pPr>
        <w:pStyle w:val="92"/>
        <w:ind w:firstLine="420"/>
        <w:rPr>
          <w:color w:val="auto"/>
          <w:sz w:val="21"/>
          <w:szCs w:val="21"/>
          <w:highlight w:val="none"/>
        </w:rPr>
      </w:pPr>
      <w:r>
        <w:rPr>
          <w:rFonts w:hint="eastAsia"/>
          <w:color w:val="auto"/>
          <w:sz w:val="21"/>
          <w:szCs w:val="21"/>
          <w:highlight w:val="none"/>
        </w:rPr>
        <w:t>3.9评标结果</w:t>
      </w:r>
    </w:p>
    <w:p>
      <w:pPr>
        <w:pStyle w:val="92"/>
        <w:ind w:firstLine="420"/>
        <w:rPr>
          <w:color w:val="auto"/>
          <w:sz w:val="21"/>
          <w:szCs w:val="21"/>
          <w:highlight w:val="none"/>
        </w:rPr>
      </w:pPr>
      <w:r>
        <w:rPr>
          <w:rFonts w:hint="eastAsia"/>
          <w:color w:val="auto"/>
          <w:sz w:val="21"/>
          <w:szCs w:val="21"/>
          <w:highlight w:val="none"/>
        </w:rPr>
        <w:t>3.9.1除第二章“投标人须知”前附表授权直接确定中标人外，评标委员会按照评标价由低到高的顺序推荐中标候选人，并标明排序。</w:t>
      </w:r>
    </w:p>
    <w:p>
      <w:pPr>
        <w:spacing w:line="400" w:lineRule="atLeast"/>
        <w:ind w:firstLine="420" w:firstLineChars="200"/>
        <w:rPr>
          <w:rFonts w:ascii="隶书" w:hAnsi="黑体" w:eastAsia="隶书"/>
          <w:color w:val="auto"/>
          <w:sz w:val="24"/>
          <w:highlight w:val="none"/>
        </w:rPr>
      </w:pPr>
      <w:r>
        <w:rPr>
          <w:rFonts w:hint="eastAsia"/>
          <w:color w:val="auto"/>
          <w:highlight w:val="none"/>
        </w:rPr>
        <w:t>3.9.2评标委员会完成评标后，应向招标人提交书面评标报告。如果评标委员会认为在评标过程中有影响最终评标结果的不能确定的特殊问题，应在评标意见中记载并提请招标人决定。</w:t>
      </w:r>
    </w:p>
    <w:p>
      <w:pPr>
        <w:pStyle w:val="32"/>
        <w:spacing w:line="360" w:lineRule="atLeast"/>
        <w:ind w:firstLine="480"/>
        <w:rPr>
          <w:rFonts w:ascii="隶书" w:hAnsi="黑体" w:eastAsia="隶书"/>
          <w:color w:val="auto"/>
          <w:highlight w:val="none"/>
        </w:rPr>
      </w:pPr>
    </w:p>
    <w:p>
      <w:pPr>
        <w:widowControl/>
        <w:jc w:val="left"/>
        <w:rPr>
          <w:bCs/>
          <w:color w:val="auto"/>
          <w:highlight w:val="none"/>
        </w:rPr>
      </w:pPr>
      <w:r>
        <w:rPr>
          <w:bCs/>
          <w:color w:val="auto"/>
          <w:highlight w:val="none"/>
        </w:rPr>
        <w:br w:type="page"/>
      </w:r>
    </w:p>
    <w:p>
      <w:pPr>
        <w:pStyle w:val="205"/>
        <w:spacing w:line="240" w:lineRule="auto"/>
        <w:outlineLvl w:val="9"/>
        <w:rPr>
          <w:rFonts w:eastAsia="宋体"/>
          <w:color w:val="auto"/>
          <w:sz w:val="48"/>
          <w:szCs w:val="48"/>
          <w:highlight w:val="none"/>
        </w:rPr>
      </w:pPr>
    </w:p>
    <w:p>
      <w:pPr>
        <w:widowControl/>
        <w:jc w:val="left"/>
        <w:rPr>
          <w:color w:val="auto"/>
          <w:kern w:val="44"/>
          <w:sz w:val="52"/>
          <w:szCs w:val="52"/>
          <w:highlight w:val="none"/>
        </w:rPr>
      </w:pPr>
      <w:bookmarkStart w:id="43" w:name="_Toc152042387"/>
      <w:bookmarkStart w:id="44" w:name="_Toc179632627"/>
      <w:bookmarkStart w:id="45" w:name="_Toc144974577"/>
      <w:bookmarkStart w:id="46" w:name="_Toc152045609"/>
    </w:p>
    <w:p>
      <w:pPr>
        <w:pStyle w:val="4"/>
        <w:spacing w:before="0" w:after="0" w:line="240" w:lineRule="auto"/>
        <w:jc w:val="center"/>
        <w:rPr>
          <w:b w:val="0"/>
          <w:bCs w:val="0"/>
          <w:color w:val="auto"/>
          <w:sz w:val="52"/>
          <w:szCs w:val="52"/>
          <w:highlight w:val="none"/>
        </w:rPr>
      </w:pPr>
      <w:bookmarkStart w:id="47" w:name="_Toc15846"/>
      <w:bookmarkStart w:id="48" w:name="_Toc12613"/>
      <w:r>
        <w:rPr>
          <w:rFonts w:hint="eastAsia" w:cs="黑体"/>
          <w:b w:val="0"/>
          <w:bCs w:val="0"/>
          <w:color w:val="auto"/>
          <w:sz w:val="52"/>
          <w:szCs w:val="52"/>
          <w:highlight w:val="none"/>
        </w:rPr>
        <w:t>第四章合同条款及格式</w:t>
      </w:r>
      <w:bookmarkEnd w:id="43"/>
      <w:bookmarkEnd w:id="44"/>
      <w:bookmarkEnd w:id="45"/>
      <w:bookmarkEnd w:id="46"/>
      <w:bookmarkEnd w:id="47"/>
      <w:bookmarkEnd w:id="48"/>
    </w:p>
    <w:p>
      <w:pPr>
        <w:snapToGrid w:val="0"/>
        <w:spacing w:line="400" w:lineRule="atLeast"/>
        <w:rPr>
          <w:color w:val="auto"/>
          <w:sz w:val="24"/>
          <w:highlight w:val="none"/>
          <w:u w:val="single"/>
        </w:rPr>
      </w:pPr>
    </w:p>
    <w:p>
      <w:pPr>
        <w:snapToGrid w:val="0"/>
        <w:spacing w:line="400" w:lineRule="atLeast"/>
        <w:rPr>
          <w:color w:val="auto"/>
          <w:sz w:val="24"/>
          <w:szCs w:val="24"/>
          <w:highlight w:val="none"/>
        </w:rPr>
      </w:pPr>
      <w:r>
        <w:rPr>
          <w:color w:val="auto"/>
          <w:sz w:val="24"/>
          <w:highlight w:val="none"/>
          <w:u w:val="single"/>
        </w:rPr>
        <w:br w:type="page"/>
      </w:r>
    </w:p>
    <w:p>
      <w:pPr>
        <w:snapToGrid w:val="0"/>
        <w:spacing w:line="360" w:lineRule="auto"/>
        <w:jc w:val="center"/>
        <w:rPr>
          <w:rFonts w:ascii="宋体" w:hAnsi="宋体"/>
          <w:b/>
          <w:color w:val="auto"/>
          <w:highlight w:val="none"/>
        </w:rPr>
      </w:pPr>
      <w:r>
        <w:rPr>
          <w:rFonts w:hint="eastAsia" w:ascii="宋体" w:hAnsi="宋体"/>
          <w:b/>
          <w:color w:val="auto"/>
          <w:highlight w:val="none"/>
        </w:rPr>
        <w:t>第一条   定义和解释</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本合同条款下述定义和解释仅限于本招标文件使用。</w:t>
      </w:r>
    </w:p>
    <w:p>
      <w:pPr>
        <w:snapToGrid w:val="0"/>
        <w:spacing w:line="360" w:lineRule="auto"/>
        <w:ind w:firstLine="420" w:firstLineChars="200"/>
        <w:jc w:val="left"/>
        <w:rPr>
          <w:rFonts w:ascii="宋体" w:hAnsi="宋体"/>
          <w:color w:val="auto"/>
          <w:highlight w:val="none"/>
        </w:rPr>
      </w:pPr>
      <w:r>
        <w:rPr>
          <w:rFonts w:hint="eastAsia" w:ascii="宋体" w:hAnsi="宋体"/>
          <w:color w:val="auto"/>
          <w:highlight w:val="none"/>
        </w:rPr>
        <w:t>1.1 项目名称：东灶港站物流配套项目甲供土方运输项目2021TFYS标段。</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1.2 发包人：即合同书中的“甲方”，是指本合同条款中指明的执行建设项目投资计划的单位，或其指定的负责管理建设项目的代表机构，以及取得该当事人（单位）资格的合法继承人。本合同的招标人为南通洋吕铁路开发建设有限公司。</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1.3 土方运输单位：即合同书中的“乙方”，是指其投标函已为发包人所接受，并与发包人签订了合同书承担本合同土方运输工作的独立法人或企事业单位，以及取得该当事机构资格的合法继承人，但不包括该当事机构的任何受让人（除非发包人同意）。</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1.4 项目负责人：是指由土方运输单位书面委任的负责本项目土方运输工作的组织管理者。</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1.5土方运输合同：是指合同协议书、中标通知书、投标函、合同条款、图纸、报价清单，以及构成合同组成部分的其它文件。</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1.6不可抗力：指发包人与土方运输单位不能预见、或不能采取措施避免并不能克服的自然灾害或社会政治因素等。</w:t>
      </w:r>
    </w:p>
    <w:p>
      <w:pPr>
        <w:snapToGrid w:val="0"/>
        <w:spacing w:line="360" w:lineRule="auto"/>
        <w:rPr>
          <w:rFonts w:ascii="宋体" w:hAnsi="宋体"/>
          <w:color w:val="auto"/>
          <w:highlight w:val="none"/>
        </w:rPr>
      </w:pPr>
      <w:r>
        <w:rPr>
          <w:rFonts w:hint="eastAsia" w:ascii="宋体" w:hAnsi="宋体"/>
          <w:color w:val="auto"/>
          <w:highlight w:val="none"/>
        </w:rPr>
        <w:t xml:space="preserve">    1.7 发包人风险：因不可抗力或应由发包人单方承担责任而产生的风险。</w:t>
      </w:r>
    </w:p>
    <w:p>
      <w:pPr>
        <w:snapToGrid w:val="0"/>
        <w:spacing w:line="360" w:lineRule="auto"/>
        <w:rPr>
          <w:rFonts w:ascii="宋体" w:hAnsi="宋体"/>
          <w:color w:val="auto"/>
          <w:highlight w:val="none"/>
        </w:rPr>
      </w:pPr>
      <w:r>
        <w:rPr>
          <w:rFonts w:hint="eastAsia" w:ascii="宋体" w:hAnsi="宋体"/>
          <w:color w:val="auto"/>
          <w:highlight w:val="none"/>
        </w:rPr>
        <w:t xml:space="preserve">    1.8 天：指日历日。年、月、日按公历计算。</w:t>
      </w:r>
    </w:p>
    <w:p>
      <w:pPr>
        <w:snapToGrid w:val="0"/>
        <w:spacing w:line="360" w:lineRule="auto"/>
        <w:ind w:firstLine="420"/>
        <w:rPr>
          <w:rFonts w:ascii="宋体" w:hAnsi="宋体"/>
          <w:color w:val="auto"/>
          <w:highlight w:val="none"/>
        </w:rPr>
      </w:pPr>
      <w:r>
        <w:rPr>
          <w:rFonts w:hint="eastAsia" w:ascii="宋体" w:hAnsi="宋体"/>
          <w:color w:val="auto"/>
          <w:highlight w:val="none"/>
        </w:rPr>
        <w:t>1.9 时间：本招标文件所指时间均为北京时间。</w:t>
      </w:r>
    </w:p>
    <w:p>
      <w:pPr>
        <w:snapToGrid w:val="0"/>
        <w:spacing w:line="360" w:lineRule="auto"/>
        <w:jc w:val="center"/>
        <w:rPr>
          <w:rFonts w:ascii="宋体" w:hAnsi="宋体"/>
          <w:b/>
          <w:color w:val="auto"/>
          <w:highlight w:val="none"/>
        </w:rPr>
      </w:pPr>
      <w:bookmarkStart w:id="49" w:name="_Toc258313640"/>
      <w:r>
        <w:rPr>
          <w:rFonts w:hint="eastAsia" w:ascii="宋体" w:hAnsi="宋体"/>
          <w:b/>
          <w:color w:val="auto"/>
          <w:highlight w:val="none"/>
        </w:rPr>
        <w:t>第二条  一般责任和义务</w:t>
      </w:r>
      <w:bookmarkEnd w:id="49"/>
    </w:p>
    <w:p>
      <w:pPr>
        <w:snapToGrid w:val="0"/>
        <w:spacing w:line="360" w:lineRule="auto"/>
        <w:ind w:firstLine="420" w:firstLineChars="200"/>
        <w:rPr>
          <w:rFonts w:ascii="宋体" w:hAnsi="宋体"/>
          <w:color w:val="auto"/>
          <w:highlight w:val="none"/>
        </w:rPr>
      </w:pPr>
      <w:bookmarkStart w:id="50" w:name="_Toc258313641"/>
      <w:r>
        <w:rPr>
          <w:rFonts w:hint="eastAsia" w:ascii="宋体" w:hAnsi="宋体"/>
          <w:color w:val="auto"/>
          <w:highlight w:val="none"/>
        </w:rPr>
        <w:t>2.1土方运输工期：合同签订后一年。</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2.2 安全、保卫与环境保护：土方运输单位的人员在进行装土、运输、卸土过程中，应采取相应的安全、保卫和环境保护措施，如土方运输单位未能采取有效的措施，而发生的与外业活动有关的人身伤亡、罚款、索赔、损失赔偿、诉讼费用及其他一切责任应由土方运输单位负责。</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2.3 保险：土方运输单位为实施本项目，应参加发包人风险以外的其它有关的责任保险（工程险与第三方责任险、机船设备险、人员意外伤害险、工伤保险等）投保，以保障发包人与土方运输单位双方利益，使本项目顺利进行。</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2.4 土方运输单位需配备不少于三台挖机、十五台运输车，根据发包人的需要随时安排挖运，确保不影响现场施工，现场土方运输单位需充分考虑运输的不连续性造成的机械及人员窝工。</w:t>
      </w:r>
    </w:p>
    <w:p>
      <w:pPr>
        <w:snapToGrid w:val="0"/>
        <w:spacing w:line="360" w:lineRule="auto"/>
        <w:jc w:val="center"/>
        <w:rPr>
          <w:rFonts w:ascii="宋体" w:hAnsi="宋体"/>
          <w:b/>
          <w:color w:val="auto"/>
          <w:highlight w:val="none"/>
        </w:rPr>
      </w:pPr>
      <w:r>
        <w:rPr>
          <w:rFonts w:hint="eastAsia" w:ascii="宋体" w:hAnsi="宋体"/>
          <w:b/>
          <w:color w:val="auto"/>
          <w:highlight w:val="none"/>
        </w:rPr>
        <w:t>第三条  发包人的责任与义务</w:t>
      </w:r>
      <w:bookmarkEnd w:id="50"/>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3.1发包人应按本合同有关规定及时支付费用。</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3.2在土方运输单位进入发包人现场时，发包人应对土方运输单位与土方所在地地方政府及有关部门的协调工作提供必要的协助，但不免除土方运输单位根据本合同规定应负的责任。</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3.3 由于执行发包人的书面指令而造成土方运输不能满足工期要求的，应由发包人承担主要责任，但不免除土方运输单位应负的责任。</w:t>
      </w:r>
    </w:p>
    <w:p>
      <w:pPr>
        <w:snapToGrid w:val="0"/>
        <w:spacing w:line="360" w:lineRule="auto"/>
        <w:jc w:val="center"/>
        <w:rPr>
          <w:rFonts w:ascii="宋体" w:hAnsi="宋体"/>
          <w:b/>
          <w:color w:val="auto"/>
          <w:highlight w:val="none"/>
        </w:rPr>
      </w:pPr>
      <w:bookmarkStart w:id="51" w:name="_Toc258313642"/>
      <w:r>
        <w:rPr>
          <w:rFonts w:hint="eastAsia" w:ascii="宋体" w:hAnsi="宋体"/>
          <w:b/>
          <w:color w:val="auto"/>
          <w:highlight w:val="none"/>
        </w:rPr>
        <w:t>第四条  土方运输单位的责任与义务</w:t>
      </w:r>
      <w:bookmarkEnd w:id="51"/>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4.1 土方运输单位应根据本合同工程项目的特点和具体情况，充分考虑到本项目的复杂性和不确定性，按照相关城管（渣土办）、交通、海事、环保、路政部门的规定，在发包人要求的时间内完成本合同工程。</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4.2人员保证与变更</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（1）土方运输单位应安排投标文件中承诺的人员投入工作，并在服务过程中和服务期内保持管理人员的稳定。</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（2）如果项目主要人员不能胜任工作、渎职或从事其他违法活动，发包人有权以书面形式提出更换要求，土方运输单位应立即派出具有同等资历的人员替换；若非因上述原因，土方运输单位有权拒绝。</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需要集中运土时，土方运输单位的土方运输进度没有达到投标文件中承诺的进度计划时，发包人有权提出要求增加人、车的投入，土方运输单位应立即安排，其费用被认为已包含在合同价格之中，不再另行支付。</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4.3对于土方运输单位在项目实施过程中发生的人员伤亡，或者造成第三方的人员伤亡，或财产损失，或由此而引起的其他一切损害和损失，均由土方运输单位自行承担，发包人均不承担责任。</w:t>
      </w:r>
    </w:p>
    <w:p>
      <w:pPr>
        <w:snapToGrid w:val="0"/>
        <w:spacing w:line="360" w:lineRule="auto"/>
        <w:ind w:firstLine="420" w:firstLineChars="200"/>
        <w:rPr>
          <w:rFonts w:ascii="宋体" w:hAnsi="宋体"/>
          <w:color w:val="auto"/>
          <w:highlight w:val="none"/>
          <w:lang w:val="en-GB"/>
        </w:rPr>
      </w:pPr>
      <w:r>
        <w:rPr>
          <w:rFonts w:hint="eastAsia" w:ascii="宋体" w:hAnsi="宋体"/>
          <w:color w:val="auto"/>
          <w:highlight w:val="none"/>
        </w:rPr>
        <w:t>4.4</w:t>
      </w:r>
      <w:r>
        <w:rPr>
          <w:rFonts w:hint="eastAsia"/>
          <w:color w:val="auto"/>
          <w:highlight w:val="none"/>
        </w:rPr>
        <w:t>土方运输单位应严格执行南通市建筑垃圾（工程渣土）运输的相关管理办法，因执行环保、城管（渣土办）相关环保文件增加的环保措施费用由土方运输单位承担。</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4.5</w:t>
      </w:r>
      <w:r>
        <w:rPr>
          <w:rFonts w:hint="eastAsia" w:ascii="宋体" w:hAnsi="宋体"/>
          <w:bCs/>
          <w:color w:val="auto"/>
          <w:highlight w:val="none"/>
        </w:rPr>
        <w:t>发生下列情况，土方运输单位不向发包人收取任何费用：</w:t>
      </w:r>
    </w:p>
    <w:p>
      <w:pPr>
        <w:snapToGrid w:val="0"/>
        <w:spacing w:line="360" w:lineRule="auto"/>
        <w:ind w:firstLine="420" w:firstLineChars="200"/>
        <w:rPr>
          <w:rFonts w:ascii="宋体" w:hAnsi="宋体"/>
          <w:bCs/>
          <w:color w:val="auto"/>
          <w:highlight w:val="none"/>
        </w:rPr>
      </w:pPr>
      <w:r>
        <w:rPr>
          <w:rFonts w:hint="eastAsia" w:ascii="宋体" w:hAnsi="宋体"/>
          <w:bCs/>
          <w:color w:val="auto"/>
          <w:highlight w:val="none"/>
        </w:rPr>
        <w:fldChar w:fldCharType="begin"/>
      </w:r>
      <w:r>
        <w:rPr>
          <w:rFonts w:hint="eastAsia" w:ascii="宋体" w:hAnsi="宋体"/>
          <w:bCs/>
          <w:color w:val="auto"/>
          <w:highlight w:val="none"/>
        </w:rPr>
        <w:instrText xml:space="preserve"> = 1 \* GB3 </w:instrText>
      </w:r>
      <w:r>
        <w:rPr>
          <w:rFonts w:hint="eastAsia" w:ascii="宋体" w:hAnsi="宋体"/>
          <w:bCs/>
          <w:color w:val="auto"/>
          <w:highlight w:val="none"/>
        </w:rPr>
        <w:fldChar w:fldCharType="separate"/>
      </w:r>
      <w:r>
        <w:rPr>
          <w:rFonts w:hint="eastAsia" w:ascii="宋体" w:hAnsi="宋体"/>
          <w:bCs/>
          <w:color w:val="auto"/>
          <w:highlight w:val="none"/>
        </w:rPr>
        <w:t>①</w:t>
      </w:r>
      <w:r>
        <w:rPr>
          <w:rFonts w:hint="eastAsia" w:ascii="宋体" w:hAnsi="宋体"/>
          <w:color w:val="auto"/>
          <w:highlight w:val="none"/>
        </w:rPr>
        <w:fldChar w:fldCharType="end"/>
      </w:r>
      <w:r>
        <w:rPr>
          <w:rFonts w:hint="eastAsia" w:ascii="宋体" w:hAnsi="宋体"/>
          <w:bCs/>
          <w:color w:val="auto"/>
          <w:highlight w:val="none"/>
        </w:rPr>
        <w:t>土方运输单位为了加快土方运输进度正常进行，而采取的各种措施；</w:t>
      </w:r>
    </w:p>
    <w:p>
      <w:pPr>
        <w:snapToGrid w:val="0"/>
        <w:spacing w:line="360" w:lineRule="auto"/>
        <w:ind w:firstLine="420" w:firstLineChars="200"/>
        <w:rPr>
          <w:rFonts w:ascii="宋体" w:hAnsi="宋体"/>
          <w:bCs/>
          <w:color w:val="auto"/>
          <w:highlight w:val="none"/>
        </w:rPr>
      </w:pPr>
      <w:r>
        <w:rPr>
          <w:rFonts w:hint="eastAsia" w:ascii="宋体" w:hAnsi="宋体"/>
          <w:bCs/>
          <w:color w:val="auto"/>
          <w:highlight w:val="none"/>
        </w:rPr>
        <w:fldChar w:fldCharType="begin"/>
      </w:r>
      <w:r>
        <w:rPr>
          <w:rFonts w:hint="eastAsia" w:ascii="宋体" w:hAnsi="宋体"/>
          <w:bCs/>
          <w:color w:val="auto"/>
          <w:highlight w:val="none"/>
        </w:rPr>
        <w:instrText xml:space="preserve"> = 2 \* GB3 </w:instrText>
      </w:r>
      <w:r>
        <w:rPr>
          <w:rFonts w:hint="eastAsia" w:ascii="宋体" w:hAnsi="宋体"/>
          <w:bCs/>
          <w:color w:val="auto"/>
          <w:highlight w:val="none"/>
        </w:rPr>
        <w:fldChar w:fldCharType="separate"/>
      </w:r>
      <w:r>
        <w:rPr>
          <w:rFonts w:hint="eastAsia" w:ascii="宋体" w:hAnsi="宋体"/>
          <w:bCs/>
          <w:color w:val="auto"/>
          <w:highlight w:val="none"/>
        </w:rPr>
        <w:t>②</w:t>
      </w:r>
      <w:r>
        <w:rPr>
          <w:rFonts w:hint="eastAsia" w:ascii="宋体" w:hAnsi="宋体"/>
          <w:color w:val="auto"/>
          <w:highlight w:val="none"/>
        </w:rPr>
        <w:fldChar w:fldCharType="end"/>
      </w:r>
      <w:r>
        <w:rPr>
          <w:rFonts w:hint="eastAsia" w:ascii="宋体" w:hAnsi="宋体"/>
          <w:bCs/>
          <w:color w:val="auto"/>
          <w:highlight w:val="none"/>
        </w:rPr>
        <w:t>因土方运输单位损坏发包人或第三方的设施、道路、场地等所发生的修复费用。</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w:t>
      </w:r>
      <w:r>
        <w:rPr>
          <w:rFonts w:ascii="宋体" w:hAnsi="宋体"/>
          <w:color w:val="auto"/>
          <w:highlight w:val="none"/>
        </w:rPr>
        <w:t>6</w:t>
      </w:r>
      <w:r>
        <w:rPr>
          <w:rFonts w:hint="eastAsia" w:ascii="宋体" w:hAnsi="宋体"/>
          <w:bCs/>
          <w:color w:val="auto"/>
          <w:highlight w:val="none"/>
        </w:rPr>
        <w:t>土方运输单位在整个土方运输过程中必须抓好安全生产和文明</w:t>
      </w:r>
      <w:r>
        <w:rPr>
          <w:rFonts w:hint="eastAsia" w:ascii="宋体" w:hAnsi="宋体"/>
          <w:bCs/>
          <w:color w:val="auto"/>
          <w:highlight w:val="none"/>
          <w:lang w:val="en-GB"/>
        </w:rPr>
        <w:t>运输</w:t>
      </w:r>
      <w:r>
        <w:rPr>
          <w:rFonts w:hint="eastAsia" w:ascii="宋体" w:hAnsi="宋体"/>
          <w:bCs/>
          <w:color w:val="auto"/>
          <w:highlight w:val="none"/>
        </w:rPr>
        <w:t>，在重要路口处及周围一定距离内必须按相关要求设置规范、齐全、醒目的交通标志及安全设施，运输土方的车辆必须采取密闭、覆盖等有效防护措施方可在公路上行驶，严禁抛洒（如由于抛洒造成的安全事故均由土方运输单位负责），土方运输过程必须合法，由于上述情况造成的所有责任及损失均由土方运输单位负责，发包人不承担任何费用，对发包人或第三方造成的损失，土方运输单位须给予赔偿。</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w:t>
      </w:r>
      <w:r>
        <w:rPr>
          <w:rFonts w:ascii="宋体" w:hAnsi="宋体"/>
          <w:color w:val="auto"/>
          <w:highlight w:val="none"/>
        </w:rPr>
        <w:t>7</w:t>
      </w:r>
      <w:r>
        <w:rPr>
          <w:rFonts w:hint="eastAsia" w:ascii="宋体" w:hAnsi="宋体"/>
          <w:bCs/>
          <w:color w:val="auto"/>
          <w:highlight w:val="none"/>
        </w:rPr>
        <w:t>土方运输单位在运输过程中必须对沿线道路进行保洁，沿线管网、道路及设施进行保护，在土方运输过程中不得损坏。如若发生损坏，土方运输单位必须负责无偿修复，并承担由此造成的一切经济责任。</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w:t>
      </w:r>
      <w:r>
        <w:rPr>
          <w:rFonts w:ascii="宋体" w:hAnsi="宋体"/>
          <w:color w:val="auto"/>
          <w:highlight w:val="none"/>
        </w:rPr>
        <w:t>8</w:t>
      </w:r>
      <w:r>
        <w:rPr>
          <w:rFonts w:hint="eastAsia" w:ascii="宋体" w:hAnsi="宋体"/>
          <w:bCs/>
          <w:color w:val="auto"/>
          <w:highlight w:val="none"/>
        </w:rPr>
        <w:t>土方运输单位应充分踏勘现场，必要时请随带测量仪器。土方运输单位在报价时应充分考虑现场因素。</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w:t>
      </w:r>
      <w:r>
        <w:rPr>
          <w:rFonts w:ascii="宋体" w:hAnsi="宋体"/>
          <w:color w:val="auto"/>
          <w:highlight w:val="none"/>
        </w:rPr>
        <w:t>9</w:t>
      </w:r>
      <w:r>
        <w:rPr>
          <w:rFonts w:hint="eastAsia" w:ascii="宋体" w:hAnsi="宋体"/>
          <w:color w:val="auto"/>
          <w:highlight w:val="none"/>
        </w:rPr>
        <w:t>招标文件投标人须知中关于投标报价的条款中需要投标人（土方运输单位）完成或承担的事项（含明示或暗示需由投标人在综合单价中充分考虑的内容）均由土方运输单位负责并承担费用，不得另向发包人提出索赔。</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4.1</w:t>
      </w:r>
      <w:r>
        <w:rPr>
          <w:rFonts w:ascii="宋体" w:hAnsi="宋体"/>
          <w:color w:val="auto"/>
          <w:highlight w:val="none"/>
        </w:rPr>
        <w:t>0</w:t>
      </w:r>
      <w:r>
        <w:rPr>
          <w:rFonts w:hint="eastAsia" w:ascii="宋体" w:hAnsi="宋体"/>
          <w:color w:val="auto"/>
          <w:highlight w:val="none"/>
        </w:rPr>
        <w:t>位于项目现场运输通道已由项目中标单位（即施工单位）修建，</w:t>
      </w:r>
      <w:r>
        <w:rPr>
          <w:rFonts w:hint="eastAsia" w:ascii="宋体" w:hAnsi="宋体"/>
          <w:bCs/>
          <w:color w:val="auto"/>
          <w:highlight w:val="none"/>
        </w:rPr>
        <w:t>土方运输单位</w:t>
      </w:r>
      <w:r>
        <w:rPr>
          <w:rFonts w:hint="eastAsia" w:ascii="宋体" w:hAnsi="宋体"/>
          <w:color w:val="auto"/>
          <w:highlight w:val="none"/>
        </w:rPr>
        <w:t>若使用该通道需与</w:t>
      </w:r>
      <w:r>
        <w:rPr>
          <w:rFonts w:hint="eastAsia" w:ascii="宋体" w:hAnsi="宋体"/>
          <w:color w:val="auto"/>
          <w:highlight w:val="none"/>
          <w:lang w:val="en-US" w:eastAsia="zh-CN"/>
        </w:rPr>
        <w:t>该</w:t>
      </w:r>
      <w:r>
        <w:rPr>
          <w:rFonts w:hint="eastAsia" w:ascii="宋体" w:hAnsi="宋体"/>
          <w:color w:val="auto"/>
          <w:highlight w:val="none"/>
        </w:rPr>
        <w:t>中标方协调，如不用需自行租用土地修筑便道，费用包含在此次单价及总价内。</w:t>
      </w:r>
      <w:r>
        <w:rPr>
          <w:rFonts w:hint="eastAsia" w:ascii="宋体" w:hAnsi="宋体"/>
          <w:bCs/>
          <w:color w:val="auto"/>
          <w:highlight w:val="none"/>
        </w:rPr>
        <w:t>土方运输单位在运土过程中运输土方车辆需要从农村公路上行驶的，具体车辆进场及运土时的道路须自行与当地村民协商，按协商一致的方案实施，协商费用及行驶路段所发生的隔沟、河、穿坝或绕道行驶的费用均由土方运输单位在投标报价中考虑（已包含在合同价中），如有打坝在运土结束后应及时清理干净，导致村民上访的，可以直接罚没或部分罚没履约保证金或不支付工程尾款。任何强势手段均属违约，一经发现，罚没全部履约保证金，涉及违法的将依法处理。</w:t>
      </w:r>
    </w:p>
    <w:p>
      <w:pPr>
        <w:snapToGrid w:val="0"/>
        <w:spacing w:line="360" w:lineRule="auto"/>
        <w:ind w:firstLine="420" w:firstLineChars="200"/>
        <w:rPr>
          <w:rFonts w:ascii="宋体" w:hAnsi="宋体"/>
          <w:bCs/>
          <w:color w:val="auto"/>
          <w:highlight w:val="none"/>
        </w:rPr>
      </w:pPr>
      <w:r>
        <w:rPr>
          <w:rFonts w:hint="eastAsia" w:ascii="宋体" w:hAnsi="宋体"/>
          <w:color w:val="auto"/>
          <w:highlight w:val="none"/>
        </w:rPr>
        <w:t>4.1</w:t>
      </w:r>
      <w:r>
        <w:rPr>
          <w:rFonts w:ascii="宋体" w:hAnsi="宋体"/>
          <w:color w:val="auto"/>
          <w:highlight w:val="none"/>
        </w:rPr>
        <w:t>1</w:t>
      </w:r>
      <w:r>
        <w:rPr>
          <w:rFonts w:hint="eastAsia" w:ascii="宋体" w:hAnsi="宋体"/>
          <w:bCs/>
          <w:color w:val="auto"/>
          <w:highlight w:val="none"/>
        </w:rPr>
        <w:t>土方运输单位应在完成本合同后15日历天内拆除所有临时设施并恢复原状（如拆除临时便道并恢复原状等等，当地行政主管部门或政府书面同意保留的除外），如在1个月内仍不拆除临时设施并恢复原状的，发包人有权决定由第三方临时设施并恢复原状，所需费用在未付款项或履约保证金中扣除，土方运输单位不得有任何异议。</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4.1</w:t>
      </w:r>
      <w:r>
        <w:rPr>
          <w:rFonts w:ascii="宋体" w:hAnsi="宋体"/>
          <w:color w:val="auto"/>
          <w:highlight w:val="none"/>
        </w:rPr>
        <w:t>2</w:t>
      </w:r>
      <w:r>
        <w:rPr>
          <w:rFonts w:hint="eastAsia" w:ascii="宋体" w:hAnsi="宋体"/>
          <w:bCs/>
          <w:color w:val="auto"/>
          <w:highlight w:val="none"/>
        </w:rPr>
        <w:t>土方运输单位合同实施前，根据需要，须按要求到南通市相关渣土办办理相关手续，费用自理</w:t>
      </w:r>
      <w:r>
        <w:rPr>
          <w:rFonts w:hint="eastAsia" w:ascii="宋体" w:hAnsi="宋体"/>
          <w:color w:val="auto"/>
          <w:highlight w:val="none"/>
        </w:rPr>
        <w:t>。</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4.1</w:t>
      </w:r>
      <w:r>
        <w:rPr>
          <w:rFonts w:ascii="宋体" w:hAnsi="宋体"/>
          <w:color w:val="auto"/>
          <w:highlight w:val="none"/>
        </w:rPr>
        <w:t>3</w:t>
      </w:r>
      <w:r>
        <w:rPr>
          <w:rFonts w:hint="eastAsia" w:ascii="宋体" w:hAnsi="宋体"/>
          <w:color w:val="auto"/>
          <w:highlight w:val="none"/>
        </w:rPr>
        <w:t>土方运输单位合同实施前须按城管（渣土办）、交警、环保、路政（交通执法）、航政等部门规定办理相关手续，费用自理。</w:t>
      </w:r>
    </w:p>
    <w:p>
      <w:pPr>
        <w:snapToGrid w:val="0"/>
        <w:spacing w:line="360" w:lineRule="auto"/>
        <w:jc w:val="center"/>
        <w:rPr>
          <w:rFonts w:ascii="宋体" w:hAnsi="宋体"/>
          <w:b/>
          <w:color w:val="auto"/>
          <w:highlight w:val="none"/>
        </w:rPr>
      </w:pPr>
      <w:bookmarkStart w:id="52" w:name="_Toc258313643"/>
      <w:r>
        <w:rPr>
          <w:rFonts w:hint="eastAsia" w:ascii="宋体" w:hAnsi="宋体"/>
          <w:b/>
          <w:color w:val="auto"/>
          <w:highlight w:val="none"/>
        </w:rPr>
        <w:t>第五条  违约与赔偿</w:t>
      </w:r>
      <w:bookmarkEnd w:id="52"/>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5.1 发包人的违约</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（1）发包人超过合同规定的日期支付费用的，应偿付逾期的违约金，逾期违约金按土方运输单位拖期违约金同等额度同期贷款利息计。</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在合同履行期间，发包人要求终止或解除合同的（但并非土方运输单位原因造成），发包人除应按土方运输单位完成的实际工作量支付费用外，还应按剩余合同价的5-10%向土方运输单位支付违约金（土方运输单位实际完成土方运输工程量已达到70%以上后发包人要求终止合同或解除合同的，不适用本条款）。</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5.2 土方运输单位的违约</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（1）土方运输单位将土方运输工作任务转包，或者未经发包人同意私自分包的，发包人将有权中止合同，并计扣土方运输单位合同价5-10%的违约金。</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w:t>
      </w:r>
      <w:r>
        <w:rPr>
          <w:rFonts w:hint="eastAsia" w:ascii="宋体" w:hAnsi="宋体"/>
          <w:b/>
          <w:color w:val="auto"/>
          <w:highlight w:val="none"/>
        </w:rPr>
        <w:t>土方运输单位必须在发包人规定的时间内完成相应批次（各批次土方运输量根据项目施工需要，由发包人以任务单形式下达指令，每批次运输土方量不确定）的土方运输工作，每批次完成期限每延期1天处违约金10</w:t>
      </w:r>
      <w:r>
        <w:rPr>
          <w:rFonts w:ascii="宋体" w:hAnsi="宋体"/>
          <w:b/>
          <w:color w:val="auto"/>
          <w:highlight w:val="none"/>
        </w:rPr>
        <w:t>00</w:t>
      </w:r>
      <w:r>
        <w:rPr>
          <w:rFonts w:hint="eastAsia" w:ascii="宋体" w:hAnsi="宋体"/>
          <w:b/>
          <w:color w:val="auto"/>
          <w:highlight w:val="none"/>
        </w:rPr>
        <w:t>0元。若某一批次延期超过</w:t>
      </w:r>
      <w:r>
        <w:rPr>
          <w:rFonts w:ascii="宋体" w:hAnsi="宋体"/>
          <w:b/>
          <w:color w:val="auto"/>
          <w:highlight w:val="none"/>
        </w:rPr>
        <w:t>1</w:t>
      </w:r>
      <w:r>
        <w:rPr>
          <w:rFonts w:hint="eastAsia" w:ascii="宋体" w:hAnsi="宋体"/>
          <w:b/>
          <w:color w:val="auto"/>
          <w:highlight w:val="none"/>
        </w:rPr>
        <w:t>0天并严重影响工程进度时，发包人可以中止合同（发包人同意延长的除外）。</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5.3 责任的期限</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土方运输单位与发包人双方的责任与义务期限为合同书中规定的时间范围。</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5.4履约保证金的约定</w:t>
      </w:r>
    </w:p>
    <w:p>
      <w:pPr>
        <w:snapToGrid w:val="0"/>
        <w:spacing w:line="360" w:lineRule="auto"/>
        <w:ind w:firstLine="420" w:firstLineChars="200"/>
        <w:rPr>
          <w:rFonts w:ascii="宋体" w:hAnsi="宋体"/>
          <w:color w:val="auto"/>
          <w:highlight w:val="none"/>
          <w:lang w:val="en-GB"/>
        </w:rPr>
      </w:pPr>
      <w:r>
        <w:rPr>
          <w:rFonts w:hint="eastAsia" w:ascii="宋体" w:hAnsi="宋体"/>
          <w:color w:val="auto"/>
          <w:highlight w:val="none"/>
        </w:rPr>
        <w:t>履约保证金为中标合同价的10</w:t>
      </w:r>
      <w:r>
        <w:rPr>
          <w:rFonts w:ascii="宋体" w:hAnsi="宋体"/>
          <w:color w:val="auto"/>
          <w:highlight w:val="none"/>
          <w:lang w:val="en-GB"/>
        </w:rPr>
        <w:t>%</w:t>
      </w:r>
      <w:r>
        <w:rPr>
          <w:rFonts w:hint="eastAsia" w:ascii="宋体" w:hAnsi="宋体"/>
          <w:color w:val="auto"/>
          <w:highlight w:val="none"/>
          <w:lang w:val="en-GB"/>
        </w:rPr>
        <w:t>，担保形式：电汇、汇票、保函或发包人认可的其它形式。</w:t>
      </w:r>
    </w:p>
    <w:p>
      <w:pPr>
        <w:snapToGrid w:val="0"/>
        <w:spacing w:line="360" w:lineRule="auto"/>
        <w:ind w:firstLine="420" w:firstLineChars="200"/>
        <w:rPr>
          <w:rFonts w:ascii="宋体" w:hAnsi="宋体"/>
          <w:color w:val="auto"/>
          <w:highlight w:val="none"/>
          <w:lang w:val="en-GB"/>
        </w:rPr>
      </w:pPr>
      <w:r>
        <w:rPr>
          <w:rFonts w:hint="eastAsia" w:ascii="宋体" w:hAnsi="宋体"/>
          <w:color w:val="auto"/>
          <w:highlight w:val="none"/>
          <w:lang w:val="en-GB"/>
        </w:rPr>
        <w:t>出现以下四种情况之一的，按如下办法罚没或部分罚没土方运输单位的履约保证金：</w:t>
      </w:r>
    </w:p>
    <w:p>
      <w:pPr>
        <w:numPr>
          <w:ilvl w:val="0"/>
          <w:numId w:val="3"/>
        </w:numPr>
        <w:tabs>
          <w:tab w:val="left" w:pos="1080"/>
          <w:tab w:val="clear" w:pos="720"/>
        </w:tabs>
        <w:snapToGrid w:val="0"/>
        <w:spacing w:line="360" w:lineRule="auto"/>
        <w:ind w:left="0" w:firstLine="420" w:firstLineChars="200"/>
        <w:rPr>
          <w:rFonts w:ascii="宋体" w:hAnsi="宋体"/>
          <w:color w:val="auto"/>
          <w:highlight w:val="none"/>
          <w:lang w:val="en-GB"/>
        </w:rPr>
      </w:pPr>
      <w:r>
        <w:rPr>
          <w:rFonts w:hint="eastAsia" w:ascii="宋体" w:hAnsi="宋体"/>
          <w:color w:val="auto"/>
          <w:highlight w:val="none"/>
          <w:lang w:val="en-GB"/>
        </w:rPr>
        <w:t>变更项目负责人的（处违约金10万元）；</w:t>
      </w:r>
    </w:p>
    <w:p>
      <w:pPr>
        <w:numPr>
          <w:ilvl w:val="0"/>
          <w:numId w:val="3"/>
        </w:numPr>
        <w:tabs>
          <w:tab w:val="left" w:pos="1080"/>
          <w:tab w:val="clear" w:pos="720"/>
        </w:tabs>
        <w:snapToGrid w:val="0"/>
        <w:spacing w:line="360" w:lineRule="auto"/>
        <w:ind w:left="0" w:firstLine="420" w:firstLineChars="200"/>
        <w:rPr>
          <w:rFonts w:ascii="宋体" w:hAnsi="宋体"/>
          <w:color w:val="auto"/>
          <w:highlight w:val="none"/>
          <w:lang w:val="en-GB"/>
        </w:rPr>
      </w:pPr>
      <w:r>
        <w:rPr>
          <w:rFonts w:hint="eastAsia" w:ascii="宋体" w:hAnsi="宋体"/>
          <w:color w:val="auto"/>
          <w:highlight w:val="none"/>
          <w:lang w:val="en-GB"/>
        </w:rPr>
        <w:t>未能在发包人规定时间内完成土方运输工作的，</w:t>
      </w:r>
      <w:r>
        <w:rPr>
          <w:rFonts w:hint="eastAsia" w:ascii="宋体" w:hAnsi="宋体"/>
          <w:b/>
          <w:color w:val="auto"/>
          <w:highlight w:val="none"/>
        </w:rPr>
        <w:t>每批次完成期限每延期1天处违约金10</w:t>
      </w:r>
      <w:r>
        <w:rPr>
          <w:rFonts w:ascii="宋体" w:hAnsi="宋体"/>
          <w:b/>
          <w:color w:val="auto"/>
          <w:highlight w:val="none"/>
        </w:rPr>
        <w:t>00</w:t>
      </w:r>
      <w:r>
        <w:rPr>
          <w:rFonts w:hint="eastAsia" w:ascii="宋体" w:hAnsi="宋体"/>
          <w:b/>
          <w:color w:val="auto"/>
          <w:highlight w:val="none"/>
        </w:rPr>
        <w:t>0元</w:t>
      </w:r>
      <w:r>
        <w:rPr>
          <w:rFonts w:hint="eastAsia" w:ascii="宋体" w:hAnsi="宋体"/>
          <w:color w:val="auto"/>
          <w:highlight w:val="none"/>
          <w:lang w:val="en-GB"/>
        </w:rPr>
        <w:t>；</w:t>
      </w:r>
    </w:p>
    <w:p>
      <w:pPr>
        <w:numPr>
          <w:ilvl w:val="0"/>
          <w:numId w:val="3"/>
        </w:numPr>
        <w:tabs>
          <w:tab w:val="left" w:pos="1080"/>
          <w:tab w:val="clear" w:pos="720"/>
        </w:tabs>
        <w:snapToGrid w:val="0"/>
        <w:spacing w:line="360" w:lineRule="auto"/>
        <w:ind w:left="0" w:firstLine="420" w:firstLineChars="200"/>
        <w:rPr>
          <w:rFonts w:ascii="宋体" w:hAnsi="宋体"/>
          <w:color w:val="auto"/>
          <w:highlight w:val="none"/>
          <w:lang w:val="en-GB"/>
        </w:rPr>
      </w:pPr>
      <w:r>
        <w:rPr>
          <w:rFonts w:hint="eastAsia" w:ascii="宋体" w:hAnsi="宋体"/>
          <w:color w:val="auto"/>
          <w:highlight w:val="none"/>
          <w:lang w:val="en-GB"/>
        </w:rPr>
        <w:t>未按时支付农民工工资的，按未支付金额的双倍予以处罚；</w:t>
      </w:r>
    </w:p>
    <w:p>
      <w:pPr>
        <w:numPr>
          <w:ilvl w:val="0"/>
          <w:numId w:val="3"/>
        </w:numPr>
        <w:tabs>
          <w:tab w:val="left" w:pos="1080"/>
          <w:tab w:val="clear" w:pos="720"/>
        </w:tabs>
        <w:snapToGrid w:val="0"/>
        <w:spacing w:line="360" w:lineRule="auto"/>
        <w:ind w:left="0" w:firstLine="420" w:firstLineChars="200"/>
        <w:rPr>
          <w:rFonts w:ascii="宋体" w:hAnsi="宋体"/>
          <w:color w:val="auto"/>
          <w:highlight w:val="none"/>
          <w:lang w:val="en-GB"/>
        </w:rPr>
      </w:pPr>
      <w:r>
        <w:rPr>
          <w:rFonts w:hint="eastAsia" w:ascii="宋体" w:hAnsi="宋体"/>
          <w:color w:val="auto"/>
          <w:highlight w:val="none"/>
          <w:lang w:val="en-GB"/>
        </w:rPr>
        <w:t>按“第四条</w:t>
      </w:r>
      <w:r>
        <w:rPr>
          <w:rFonts w:ascii="宋体" w:hAnsi="宋体"/>
          <w:color w:val="auto"/>
          <w:highlight w:val="none"/>
          <w:lang w:val="en-GB"/>
        </w:rPr>
        <w:t xml:space="preserve"> </w:t>
      </w:r>
      <w:r>
        <w:rPr>
          <w:rFonts w:hint="eastAsia" w:ascii="宋体" w:hAnsi="宋体"/>
          <w:color w:val="auto"/>
          <w:highlight w:val="none"/>
          <w:lang w:val="en-GB"/>
        </w:rPr>
        <w:t>土方运输单位的责任与义务”应处没收履约保证金的。</w:t>
      </w:r>
    </w:p>
    <w:p>
      <w:pPr>
        <w:snapToGrid w:val="0"/>
        <w:spacing w:line="360" w:lineRule="auto"/>
        <w:jc w:val="center"/>
        <w:rPr>
          <w:rFonts w:ascii="宋体" w:hAnsi="宋体"/>
          <w:b/>
          <w:color w:val="auto"/>
          <w:highlight w:val="none"/>
        </w:rPr>
      </w:pPr>
      <w:bookmarkStart w:id="53" w:name="_Toc258313644"/>
      <w:r>
        <w:rPr>
          <w:rFonts w:hint="eastAsia" w:ascii="宋体" w:hAnsi="宋体"/>
          <w:b/>
          <w:color w:val="auto"/>
          <w:highlight w:val="none"/>
        </w:rPr>
        <w:t>第六条  合同的生效、变更与终止</w:t>
      </w:r>
      <w:bookmarkEnd w:id="53"/>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6.1 合同的生效</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合同书自双方签字盖章后所有合同文件生效。土方运输单位工作的开始和完成时间按照合同书的规定执行。</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6.2 合同文件的优先次序</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组成合同的各个文件应该认为是一个整体，互为补充和解释，如果有互相矛盾处，以下面所列顺序在前者为准：</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（1）合同书及附件（含澄清文件）（如需要）；</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（2）中标通知书；</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（3）投标函及附表；</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（4）合同条款；</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（5）技术标准及规范；</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（6）报价清单；</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（7）投标文件；</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（8）构成本合同组成的其他文件。</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6.3 延误</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由于发包人或不可抗力等因素，导致服务增加和时间延续则：</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（1）土方运输单位应将此情况与可能产生的影响尽快通知发包人，并采取合理措施使损失减至最低；</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（2）土方运输单位应保持详细原始记录。</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发包人在与土方运输单位协商后应相应地延长土方运输单位的工作期限。</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6.4推迟与终止</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（1）发包人可以在至少7天以前以书面通知土方运输单位暂停土方运输工作，一旦收到此类通知，土方运输单位应立即安排停止计划并将费用减到最小。</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2）发包人认为土方运输单位无正当理由而未履行本合同规定的责任与义务时，应书面通知土方运输单位，并说明理由。若发包人在7天内没有收到满意的答复，发包人可以发出进一步的通知终止本合同，但此进一步的通知必须在第一个通知发出14天后发出。</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3）由于发包人或不可抗力等因素，土方运输单位无法履行合同的，土方运输单位可以提出终止合同，并于28天前以书面形式通知发包人，由此造成的损失，应由发包人根据合同单价和土方运输单位实际完成的工作量予以赔偿。</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6.6 合同终止不影响权利和责任</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不论何种原因，本合同的终止，不应损害和影响各方应有的权利、索赔要求和应负的责任。</w:t>
      </w:r>
    </w:p>
    <w:p>
      <w:pPr>
        <w:snapToGrid w:val="0"/>
        <w:spacing w:line="360" w:lineRule="auto"/>
        <w:jc w:val="center"/>
        <w:rPr>
          <w:rFonts w:ascii="宋体" w:hAnsi="宋体"/>
          <w:b/>
          <w:color w:val="auto"/>
          <w:highlight w:val="none"/>
        </w:rPr>
      </w:pPr>
      <w:bookmarkStart w:id="54" w:name="_Toc258313645"/>
      <w:r>
        <w:rPr>
          <w:rFonts w:hint="eastAsia" w:ascii="宋体" w:hAnsi="宋体"/>
          <w:b/>
          <w:color w:val="auto"/>
          <w:highlight w:val="none"/>
        </w:rPr>
        <w:t>第七条   费用与支付</w:t>
      </w:r>
      <w:bookmarkEnd w:id="54"/>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7.1费用及支付时间</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发包人应按合同条款的有关规定，按时向土方运输单位支付土方运输费用。</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（1）本项目不设预付款；</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）按月计量、每季度支付一次。每季度支付当季完成土方费用的70%，一审结束后付至一审价的80%，终审后两个月内支付剩余款项。（不计息）</w:t>
      </w:r>
    </w:p>
    <w:p>
      <w:pPr>
        <w:snapToGrid w:val="0"/>
        <w:spacing w:line="360" w:lineRule="auto"/>
        <w:ind w:firstLine="420" w:firstLineChars="200"/>
        <w:rPr>
          <w:rFonts w:hint="default" w:eastAsia="宋体"/>
          <w:color w:val="auto"/>
          <w:highlight w:val="none"/>
          <w:lang w:val="en-US" w:eastAsia="zh-CN"/>
        </w:rPr>
      </w:pPr>
      <w:r>
        <w:rPr>
          <w:rFonts w:hint="eastAsia" w:ascii="宋体" w:hAnsi="宋体"/>
          <w:color w:val="auto"/>
          <w:highlight w:val="none"/>
        </w:rPr>
        <w:t>（</w:t>
      </w:r>
      <w:r>
        <w:rPr>
          <w:rFonts w:ascii="宋体" w:hAnsi="宋体"/>
          <w:color w:val="auto"/>
          <w:highlight w:val="none"/>
        </w:rPr>
        <w:t>3</w:t>
      </w:r>
      <w:r>
        <w:rPr>
          <w:rFonts w:hint="eastAsia" w:ascii="宋体" w:hAnsi="宋体"/>
          <w:color w:val="auto"/>
          <w:highlight w:val="none"/>
        </w:rPr>
        <w:t>）</w:t>
      </w:r>
      <w:r>
        <w:rPr>
          <w:rFonts w:hint="eastAsia"/>
          <w:color w:val="auto"/>
          <w:highlight w:val="none"/>
        </w:rPr>
        <w:t>土方计量：</w:t>
      </w:r>
      <w:r>
        <w:rPr>
          <w:rFonts w:hint="eastAsia"/>
          <w:color w:val="auto"/>
          <w:highlight w:val="none"/>
          <w:lang w:val="en-US" w:eastAsia="zh-CN"/>
        </w:rPr>
        <w:t>月计量以招标人委托现场监理核定的拟回填区位完成的实体工程回填土方量为准；回填场地交付标准以回填后满足工程机械和工程运输车辆正常通行和作业需求即可，不作具体压实要求。最终计量（结算）以最终工程结算审计为准。</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7.2本项目执行固定单价合同，合同单价含①土方现有位置运至堆土点位置的运输费用；②</w:t>
      </w:r>
      <w:r>
        <w:rPr>
          <w:rFonts w:hint="eastAsia" w:ascii="宋体" w:hAnsi="宋体"/>
          <w:color w:val="auto"/>
          <w:highlight w:val="none"/>
          <w:lang w:val="en-US" w:eastAsia="zh-CN"/>
        </w:rPr>
        <w:t>便道</w:t>
      </w:r>
      <w:r>
        <w:rPr>
          <w:rFonts w:hint="eastAsia" w:ascii="宋体" w:hAnsi="宋体"/>
          <w:color w:val="auto"/>
          <w:highlight w:val="none"/>
        </w:rPr>
        <w:t>日常维护、洒水降尘等由投标人负责；③堆土场内便道及卸土机械（如需要）均由土方运输单位负责。合同实施期间合同单价一概不予调整。</w:t>
      </w:r>
    </w:p>
    <w:p>
      <w:pPr>
        <w:pStyle w:val="50"/>
        <w:snapToGrid w:val="0"/>
        <w:spacing w:after="0" w:line="360" w:lineRule="auto"/>
        <w:ind w:left="0" w:leftChars="0"/>
        <w:jc w:val="left"/>
        <w:rPr>
          <w:rFonts w:ascii="宋体" w:hAnsi="宋体" w:cs="宋体"/>
          <w:color w:val="auto"/>
          <w:sz w:val="21"/>
          <w:szCs w:val="21"/>
          <w:highlight w:val="none"/>
        </w:rPr>
      </w:pPr>
      <w:r>
        <w:rPr>
          <w:rFonts w:hint="eastAsia" w:ascii="宋体" w:hAnsi="宋体" w:cs="宋体"/>
          <w:color w:val="auto"/>
          <w:sz w:val="21"/>
          <w:szCs w:val="21"/>
          <w:highlight w:val="none"/>
        </w:rPr>
        <w:t>7.</w:t>
      </w:r>
      <w:r>
        <w:rPr>
          <w:rFonts w:hint="eastAsia" w:ascii="宋体" w:hAnsi="宋体" w:cs="宋体"/>
          <w:color w:val="auto"/>
          <w:sz w:val="21"/>
          <w:szCs w:val="21"/>
          <w:highlight w:val="none"/>
          <w:lang w:val="en-US"/>
        </w:rPr>
        <w:t>3土方运输单位供应不及时给发包人造成的误工费用由土方运输单位全部承担；施工过程中不得以便道、施工时间、土方质量等问题向发包人要求增加任何费用。</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7.4有异议的支付</w:t>
      </w:r>
    </w:p>
    <w:p>
      <w:pPr>
        <w:snapToGrid w:val="0"/>
        <w:spacing w:line="360" w:lineRule="auto"/>
        <w:ind w:firstLine="420" w:firstLineChars="200"/>
        <w:jc w:val="left"/>
        <w:rPr>
          <w:rFonts w:ascii="宋体" w:hAnsi="宋体"/>
          <w:color w:val="auto"/>
          <w:highlight w:val="none"/>
        </w:rPr>
      </w:pPr>
      <w:r>
        <w:rPr>
          <w:rFonts w:hint="eastAsia" w:ascii="宋体" w:hAnsi="宋体" w:cs="宋体"/>
          <w:color w:val="auto"/>
          <w:highlight w:val="none"/>
        </w:rPr>
        <w:t>如果发包人对土方运输单</w:t>
      </w:r>
      <w:r>
        <w:rPr>
          <w:rFonts w:hint="eastAsia" w:ascii="宋体" w:hAnsi="宋体"/>
          <w:color w:val="auto"/>
          <w:highlight w:val="none"/>
        </w:rPr>
        <w:t>位提交的付款申请有异议时，发包人应在5个工作日内发出书面通知要求土方运输单位澄清，此时，应在收到土方运输单位书面澄清（以发包人签收的日期为准）之日起30天内支付。如果土方运输单位在收到发包人要求书面澄清的通知后15天内（以土方运输单位收到通知的日期为准）未做任何书面答复，则发包人不予支付，直到土方运输单位作出书面澄清为止。</w:t>
      </w:r>
    </w:p>
    <w:p>
      <w:pPr>
        <w:snapToGrid w:val="0"/>
        <w:spacing w:line="360" w:lineRule="auto"/>
        <w:jc w:val="center"/>
        <w:rPr>
          <w:rFonts w:ascii="宋体" w:hAnsi="宋体"/>
          <w:b/>
          <w:color w:val="auto"/>
          <w:highlight w:val="none"/>
        </w:rPr>
      </w:pPr>
      <w:bookmarkStart w:id="55" w:name="_Toc258313646"/>
      <w:r>
        <w:rPr>
          <w:rFonts w:hint="eastAsia" w:ascii="宋体" w:hAnsi="宋体"/>
          <w:b/>
          <w:color w:val="auto"/>
          <w:highlight w:val="none"/>
        </w:rPr>
        <w:t>第八条  其  它</w:t>
      </w:r>
      <w:bookmarkEnd w:id="55"/>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8.1 转包</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禁止土方运输单位将本合同规定的土方运输工作任务转包。</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8.2 利益的冲突</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除合同另有规定外，土方运输单位及其雇员不应接受本合同规定以外的与本项目有关的利益和报酬；土方运输单位不得参与与发包人的利益有冲突的任何活动。</w:t>
      </w:r>
    </w:p>
    <w:p>
      <w:pPr>
        <w:snapToGrid w:val="0"/>
        <w:spacing w:line="360" w:lineRule="auto"/>
        <w:ind w:firstLine="420" w:firstLineChars="200"/>
        <w:rPr>
          <w:rFonts w:ascii="宋体" w:hAnsi="宋体"/>
          <w:color w:val="auto"/>
          <w:highlight w:val="none"/>
        </w:rPr>
      </w:pPr>
      <w:r>
        <w:rPr>
          <w:rFonts w:hint="eastAsia" w:ascii="宋体" w:hAnsi="宋体"/>
          <w:color w:val="auto"/>
          <w:highlight w:val="none"/>
        </w:rPr>
        <w:t>8.3 争端的解决</w:t>
      </w:r>
    </w:p>
    <w:p>
      <w:pPr>
        <w:adjustRightInd w:val="0"/>
        <w:snapToGrid w:val="0"/>
        <w:spacing w:line="360" w:lineRule="auto"/>
        <w:ind w:firstLine="315" w:firstLineChars="150"/>
        <w:rPr>
          <w:rFonts w:ascii="宋体" w:hAnsi="宋体"/>
          <w:color w:val="auto"/>
          <w:highlight w:val="none"/>
        </w:rPr>
      </w:pPr>
      <w:r>
        <w:rPr>
          <w:rFonts w:hint="eastAsia" w:ascii="宋体" w:hAnsi="宋体"/>
          <w:color w:val="auto"/>
          <w:highlight w:val="none"/>
        </w:rPr>
        <w:t>本合同在执行过程中，如发生任何争端、纠纷或因违反、终止本合同而引起的对损失损害的任何赔偿，应事先协商，在土方运输单位和发包人之间达成一致意见。如未能达成一致，可提交南通仲裁委员会仲裁。仲裁决定具有最终法律效力，其仲裁费用由败诉方承担，或按裁决由双方按比例分担。</w:t>
      </w:r>
    </w:p>
    <w:p>
      <w:pPr>
        <w:numPr>
          <w:ilvl w:val="0"/>
          <w:numId w:val="4"/>
        </w:numPr>
        <w:snapToGrid w:val="0"/>
        <w:spacing w:line="480" w:lineRule="auto"/>
        <w:jc w:val="center"/>
        <w:rPr>
          <w:rFonts w:ascii="宋体" w:hAnsi="宋体"/>
          <w:b/>
          <w:color w:val="auto"/>
          <w:szCs w:val="28"/>
          <w:highlight w:val="none"/>
        </w:rPr>
      </w:pPr>
      <w:r>
        <w:rPr>
          <w:rFonts w:ascii="宋体" w:hAnsi="宋体"/>
          <w:color w:val="auto"/>
          <w:highlight w:val="none"/>
        </w:rPr>
        <w:br w:type="page"/>
      </w:r>
      <w:bookmarkStart w:id="56" w:name="_Toc258313647"/>
      <w:bookmarkStart w:id="57" w:name="_Toc185671411"/>
      <w:bookmarkStart w:id="58" w:name="_Toc185670843"/>
      <w:bookmarkStart w:id="59" w:name="_Toc185672380"/>
      <w:bookmarkStart w:id="60" w:name="_Toc186515169"/>
      <w:bookmarkStart w:id="61" w:name="_Toc168227939"/>
      <w:bookmarkStart w:id="62" w:name="_Toc185412940"/>
      <w:r>
        <w:rPr>
          <w:rFonts w:hint="eastAsia" w:ascii="宋体" w:hAnsi="宋体"/>
          <w:b/>
          <w:color w:val="auto"/>
          <w:szCs w:val="28"/>
          <w:highlight w:val="none"/>
        </w:rPr>
        <w:t>合同协议书格式</w:t>
      </w:r>
      <w:bookmarkEnd w:id="56"/>
      <w:bookmarkEnd w:id="57"/>
      <w:bookmarkEnd w:id="58"/>
      <w:bookmarkEnd w:id="59"/>
      <w:bookmarkEnd w:id="60"/>
      <w:bookmarkEnd w:id="61"/>
      <w:bookmarkEnd w:id="62"/>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本合同书由</w:t>
      </w:r>
      <w:r>
        <w:rPr>
          <w:rFonts w:hint="eastAsia" w:ascii="宋体" w:hAnsi="宋体"/>
          <w:snapToGrid w:val="0"/>
          <w:color w:val="auto"/>
          <w:kern w:val="0"/>
          <w:highlight w:val="none"/>
          <w:u w:val="single"/>
        </w:rPr>
        <w:t xml:space="preserve">  （发包人全称）  </w:t>
      </w:r>
      <w:r>
        <w:rPr>
          <w:rFonts w:hint="eastAsia" w:ascii="宋体" w:hAnsi="宋体"/>
          <w:snapToGrid w:val="0"/>
          <w:color w:val="auto"/>
          <w:kern w:val="0"/>
          <w:highlight w:val="none"/>
        </w:rPr>
        <w:t>（以下简称甲方）与</w:t>
      </w:r>
      <w:r>
        <w:rPr>
          <w:rFonts w:hint="eastAsia" w:ascii="宋体" w:hAnsi="宋体"/>
          <w:snapToGrid w:val="0"/>
          <w:color w:val="auto"/>
          <w:kern w:val="0"/>
          <w:highlight w:val="none"/>
          <w:u w:val="single"/>
        </w:rPr>
        <w:t xml:space="preserve"> （土方运输单位全称） </w:t>
      </w:r>
      <w:r>
        <w:rPr>
          <w:rFonts w:hint="eastAsia" w:ascii="宋体" w:hAnsi="宋体"/>
          <w:snapToGrid w:val="0"/>
          <w:color w:val="auto"/>
          <w:kern w:val="0"/>
          <w:highlight w:val="none"/>
        </w:rPr>
        <w:t>（以下简称乙方）于</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年</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月</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日商定并签署。</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鉴于发包人拟开展</w:t>
      </w:r>
      <w:r>
        <w:rPr>
          <w:rFonts w:hint="eastAsia" w:ascii="宋体" w:hAnsi="宋体"/>
          <w:snapToGrid w:val="0"/>
          <w:color w:val="auto"/>
          <w:kern w:val="0"/>
          <w:highlight w:val="none"/>
          <w:u w:val="single"/>
        </w:rPr>
        <w:t xml:space="preserve">  （项目名称）（标段名称）  </w:t>
      </w:r>
      <w:r>
        <w:rPr>
          <w:rFonts w:hint="eastAsia" w:ascii="宋体" w:hAnsi="宋体"/>
          <w:snapToGrid w:val="0"/>
          <w:color w:val="auto"/>
          <w:kern w:val="0"/>
          <w:highlight w:val="none"/>
        </w:rPr>
        <w:t>工作，并通过</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年</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月</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日的中标通知书接受了乙方以人民币</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元为</w:t>
      </w:r>
      <w:r>
        <w:rPr>
          <w:rFonts w:hint="eastAsia" w:ascii="宋体" w:hAnsi="宋体"/>
          <w:snapToGrid w:val="0"/>
          <w:color w:val="auto"/>
          <w:kern w:val="0"/>
          <w:highlight w:val="none"/>
          <w:u w:val="single"/>
        </w:rPr>
        <w:t xml:space="preserve">  （项目名称）（标段名称）</w:t>
      </w:r>
      <w:r>
        <w:rPr>
          <w:rFonts w:hint="eastAsia" w:ascii="宋体" w:hAnsi="宋体"/>
          <w:snapToGrid w:val="0"/>
          <w:color w:val="auto"/>
          <w:kern w:val="0"/>
          <w:highlight w:val="none"/>
        </w:rPr>
        <w:t>所做的投标，双方达成如下协议：</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一、下列文件应视为构成并作为阅读和理解本协议的组成部分，即：</w:t>
      </w:r>
    </w:p>
    <w:p>
      <w:pPr>
        <w:spacing w:line="400" w:lineRule="exact"/>
        <w:ind w:firstLine="840" w:firstLineChars="400"/>
        <w:rPr>
          <w:rFonts w:ascii="宋体" w:hAnsi="宋体"/>
          <w:color w:val="auto"/>
          <w:highlight w:val="none"/>
        </w:rPr>
      </w:pPr>
      <w:r>
        <w:rPr>
          <w:rFonts w:hint="eastAsia" w:ascii="宋体" w:hAnsi="宋体"/>
          <w:color w:val="auto"/>
          <w:highlight w:val="none"/>
        </w:rPr>
        <w:t>（1）合同书及附件（含澄清文件）（如需要）；</w:t>
      </w:r>
    </w:p>
    <w:p>
      <w:pPr>
        <w:spacing w:line="400" w:lineRule="exact"/>
        <w:ind w:firstLine="840" w:firstLineChars="400"/>
        <w:rPr>
          <w:rFonts w:ascii="宋体" w:hAnsi="宋体"/>
          <w:color w:val="auto"/>
          <w:highlight w:val="none"/>
        </w:rPr>
      </w:pPr>
      <w:r>
        <w:rPr>
          <w:rFonts w:hint="eastAsia" w:ascii="宋体" w:hAnsi="宋体"/>
          <w:color w:val="auto"/>
          <w:highlight w:val="none"/>
        </w:rPr>
        <w:t>（2）中标通知书；</w:t>
      </w:r>
    </w:p>
    <w:p>
      <w:pPr>
        <w:spacing w:line="400" w:lineRule="exact"/>
        <w:ind w:firstLine="840" w:firstLineChars="400"/>
        <w:rPr>
          <w:rFonts w:ascii="宋体" w:hAnsi="宋体"/>
          <w:color w:val="auto"/>
          <w:highlight w:val="none"/>
        </w:rPr>
      </w:pPr>
      <w:r>
        <w:rPr>
          <w:rFonts w:hint="eastAsia" w:ascii="宋体" w:hAnsi="宋体"/>
          <w:color w:val="auto"/>
          <w:highlight w:val="none"/>
        </w:rPr>
        <w:t>（3）投标函及附表；</w:t>
      </w:r>
    </w:p>
    <w:p>
      <w:pPr>
        <w:spacing w:line="400" w:lineRule="exact"/>
        <w:ind w:firstLine="840" w:firstLineChars="400"/>
        <w:rPr>
          <w:rFonts w:ascii="宋体" w:hAnsi="宋体"/>
          <w:color w:val="auto"/>
          <w:highlight w:val="none"/>
        </w:rPr>
      </w:pPr>
      <w:r>
        <w:rPr>
          <w:rFonts w:hint="eastAsia" w:ascii="宋体" w:hAnsi="宋体"/>
          <w:color w:val="auto"/>
          <w:highlight w:val="none"/>
        </w:rPr>
        <w:t>（4）合同条款；</w:t>
      </w:r>
    </w:p>
    <w:p>
      <w:pPr>
        <w:spacing w:line="400" w:lineRule="exact"/>
        <w:ind w:firstLine="840" w:firstLineChars="400"/>
        <w:rPr>
          <w:rFonts w:ascii="宋体" w:hAnsi="宋体"/>
          <w:color w:val="auto"/>
          <w:highlight w:val="none"/>
        </w:rPr>
      </w:pPr>
      <w:r>
        <w:rPr>
          <w:rFonts w:hint="eastAsia" w:ascii="宋体" w:hAnsi="宋体"/>
          <w:color w:val="auto"/>
          <w:highlight w:val="none"/>
        </w:rPr>
        <w:t>（5）</w:t>
      </w:r>
      <w:r>
        <w:rPr>
          <w:rFonts w:hint="eastAsia" w:ascii="宋体" w:hAnsi="宋体"/>
          <w:color w:val="auto"/>
          <w:highlight w:val="none"/>
          <w:lang w:val="en-US" w:eastAsia="zh-CN"/>
        </w:rPr>
        <w:t>招标文件（其他内容）</w:t>
      </w:r>
      <w:r>
        <w:rPr>
          <w:rFonts w:hint="eastAsia" w:ascii="宋体" w:hAnsi="宋体"/>
          <w:color w:val="auto"/>
          <w:highlight w:val="none"/>
        </w:rPr>
        <w:t>；</w:t>
      </w:r>
    </w:p>
    <w:p>
      <w:pPr>
        <w:spacing w:line="400" w:lineRule="exact"/>
        <w:ind w:firstLine="840" w:firstLineChars="400"/>
        <w:rPr>
          <w:rFonts w:ascii="宋体" w:hAnsi="宋体"/>
          <w:color w:val="auto"/>
          <w:highlight w:val="none"/>
        </w:rPr>
      </w:pPr>
      <w:r>
        <w:rPr>
          <w:rFonts w:hint="eastAsia" w:ascii="宋体" w:hAnsi="宋体"/>
          <w:color w:val="auto"/>
          <w:highlight w:val="none"/>
        </w:rPr>
        <w:t>（6）投标文件</w:t>
      </w:r>
      <w:r>
        <w:rPr>
          <w:rFonts w:hint="eastAsia" w:ascii="宋体" w:hAnsi="宋体"/>
          <w:color w:val="auto"/>
          <w:highlight w:val="none"/>
          <w:lang w:val="en-US" w:eastAsia="zh-CN"/>
        </w:rPr>
        <w:t>（其他内容）</w:t>
      </w:r>
      <w:r>
        <w:rPr>
          <w:rFonts w:hint="eastAsia" w:ascii="宋体" w:hAnsi="宋体"/>
          <w:color w:val="auto"/>
          <w:highlight w:val="none"/>
        </w:rPr>
        <w:t>；</w:t>
      </w:r>
    </w:p>
    <w:p>
      <w:pPr>
        <w:spacing w:line="400" w:lineRule="exact"/>
        <w:ind w:firstLine="840" w:firstLineChars="400"/>
        <w:rPr>
          <w:rFonts w:ascii="宋体" w:hAnsi="宋体"/>
          <w:color w:val="auto"/>
          <w:highlight w:val="none"/>
        </w:rPr>
      </w:pPr>
      <w:r>
        <w:rPr>
          <w:rFonts w:hint="eastAsia" w:ascii="宋体" w:hAnsi="宋体"/>
          <w:color w:val="auto"/>
          <w:highlight w:val="none"/>
        </w:rPr>
        <w:t>（7）</w:t>
      </w:r>
      <w:r>
        <w:rPr>
          <w:rFonts w:hint="eastAsia" w:ascii="宋体" w:hAnsi="宋体"/>
          <w:snapToGrid w:val="0"/>
          <w:color w:val="auto"/>
          <w:kern w:val="0"/>
          <w:highlight w:val="none"/>
        </w:rPr>
        <w:t>构成本合同组成的</w:t>
      </w:r>
      <w:r>
        <w:rPr>
          <w:rFonts w:hint="eastAsia" w:ascii="宋体" w:hAnsi="宋体"/>
          <w:color w:val="auto"/>
          <w:kern w:val="0"/>
          <w:highlight w:val="none"/>
          <w:lang w:val="zh-CN"/>
        </w:rPr>
        <w:t>其他文件。</w:t>
      </w:r>
    </w:p>
    <w:p>
      <w:pPr>
        <w:pStyle w:val="15"/>
        <w:adjustRightInd w:val="0"/>
        <w:snapToGrid w:val="0"/>
        <w:spacing w:line="400" w:lineRule="exact"/>
        <w:rPr>
          <w:rFonts w:ascii="宋体" w:hAnsi="宋体"/>
          <w:snapToGrid w:val="0"/>
          <w:color w:val="auto"/>
          <w:kern w:val="0"/>
          <w:highlight w:val="none"/>
        </w:rPr>
      </w:pPr>
      <w:r>
        <w:rPr>
          <w:rFonts w:hint="eastAsia" w:ascii="宋体" w:hAnsi="宋体"/>
          <w:snapToGrid w:val="0"/>
          <w:color w:val="auto"/>
          <w:kern w:val="0"/>
          <w:highlight w:val="none"/>
        </w:rPr>
        <w:t>上述文件应认为是互为补充和解释的，但如有含义不清或互相矛盾处，以上列次序在先者为准。</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二、合同金额：</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元；项目负责人：</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三、合同工期：</w:t>
      </w:r>
      <w:r>
        <w:rPr>
          <w:rFonts w:hint="eastAsia" w:ascii="宋体" w:hAnsi="宋体"/>
          <w:color w:val="auto"/>
          <w:highlight w:val="none"/>
        </w:rPr>
        <w:t>合同签订后一年</w:t>
      </w:r>
      <w:r>
        <w:rPr>
          <w:rFonts w:hint="eastAsia" w:ascii="宋体" w:hAnsi="宋体"/>
          <w:snapToGrid w:val="0"/>
          <w:color w:val="auto"/>
          <w:kern w:val="0"/>
          <w:highlight w:val="none"/>
          <w:lang w:val="en-GB"/>
        </w:rPr>
        <w:t>。</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四、发包人和土方运输单位双方的责任和义务及违约条款遵照本项目合同条款的规定。</w:t>
      </w:r>
    </w:p>
    <w:p>
      <w:pPr>
        <w:adjustRightInd w:val="0"/>
        <w:snapToGrid w:val="0"/>
        <w:spacing w:line="400" w:lineRule="exact"/>
        <w:ind w:firstLine="420" w:firstLineChars="200"/>
        <w:rPr>
          <w:rFonts w:ascii="宋体" w:hAnsi="宋体"/>
          <w:b/>
          <w:color w:val="auto"/>
          <w:highlight w:val="none"/>
        </w:rPr>
      </w:pPr>
      <w:r>
        <w:rPr>
          <w:rFonts w:hint="eastAsia" w:ascii="宋体" w:hAnsi="宋体"/>
          <w:color w:val="auto"/>
          <w:highlight w:val="none"/>
        </w:rPr>
        <w:t>五</w:t>
      </w:r>
      <w:r>
        <w:rPr>
          <w:rFonts w:hint="eastAsia" w:ascii="宋体" w:hAnsi="宋体"/>
          <w:snapToGrid w:val="0"/>
          <w:color w:val="auto"/>
          <w:kern w:val="0"/>
          <w:highlight w:val="none"/>
        </w:rPr>
        <w:t>、付款方式：遵照合同条款的规定。</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六、在签订本合同协议的同时，双方共同签订《廉政合同》（详见合同附件一），双方共同遵守执行。</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七、土方运输过程中乙方应做好</w:t>
      </w:r>
      <w:r>
        <w:rPr>
          <w:rFonts w:hint="eastAsia" w:ascii="宋体" w:hAnsi="宋体"/>
          <w:snapToGrid w:val="0"/>
          <w:color w:val="auto"/>
          <w:kern w:val="0"/>
          <w:highlight w:val="none"/>
          <w:lang w:val="en-GB"/>
        </w:rPr>
        <w:t>安全、环保工作，除合同条款明确约定由甲方承担的责任之外，其它明示或暗示的</w:t>
      </w:r>
      <w:r>
        <w:rPr>
          <w:rFonts w:hint="eastAsia" w:ascii="宋体" w:hAnsi="宋体"/>
          <w:snapToGrid w:val="0"/>
          <w:color w:val="auto"/>
          <w:kern w:val="0"/>
          <w:highlight w:val="none"/>
        </w:rPr>
        <w:t>一切安全、环保责任均由乙方承担。</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八、本合同未尽事宜由双方协商解决。</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九、本合同书经双方代表签字并加盖公章后立即产生法律效力，合同费用结清后失效。双方要恪守信誉，严格履行。</w:t>
      </w:r>
    </w:p>
    <w:p>
      <w:pPr>
        <w:adjustRightInd w:val="0"/>
        <w:snapToGrid w:val="0"/>
        <w:spacing w:line="400" w:lineRule="exact"/>
        <w:ind w:firstLine="420" w:firstLineChars="200"/>
        <w:rPr>
          <w:rFonts w:ascii="宋体" w:hAnsi="宋体"/>
          <w:snapToGrid w:val="0"/>
          <w:color w:val="auto"/>
          <w:kern w:val="0"/>
          <w:highlight w:val="none"/>
        </w:rPr>
      </w:pPr>
      <w:r>
        <w:rPr>
          <w:rFonts w:hint="eastAsia" w:ascii="宋体" w:hAnsi="宋体"/>
          <w:snapToGrid w:val="0"/>
          <w:color w:val="auto"/>
          <w:kern w:val="0"/>
          <w:highlight w:val="none"/>
        </w:rPr>
        <w:t>十、本合同一式</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 xml:space="preserve"> 份，双方各持</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份。</w:t>
      </w:r>
    </w:p>
    <w:p>
      <w:pPr>
        <w:spacing w:line="400" w:lineRule="exact"/>
        <w:ind w:firstLine="1470" w:firstLineChars="700"/>
        <w:rPr>
          <w:rFonts w:ascii="宋体" w:hAnsi="宋体"/>
          <w:snapToGrid w:val="0"/>
          <w:color w:val="auto"/>
          <w:kern w:val="0"/>
          <w:highlight w:val="none"/>
        </w:rPr>
      </w:pPr>
    </w:p>
    <w:p>
      <w:pPr>
        <w:spacing w:line="360" w:lineRule="exact"/>
        <w:ind w:firstLine="359" w:firstLineChars="171"/>
        <w:rPr>
          <w:rFonts w:ascii="宋体" w:hAnsi="宋体"/>
          <w:snapToGrid w:val="0"/>
          <w:color w:val="auto"/>
          <w:kern w:val="0"/>
          <w:highlight w:val="none"/>
        </w:rPr>
      </w:pPr>
      <w:r>
        <w:rPr>
          <w:rFonts w:hint="eastAsia" w:ascii="宋体" w:hAnsi="宋体"/>
          <w:snapToGrid w:val="0"/>
          <w:color w:val="auto"/>
          <w:kern w:val="0"/>
          <w:highlight w:val="none"/>
        </w:rPr>
        <w:t xml:space="preserve">甲       方 </w:t>
      </w:r>
      <w:r>
        <w:rPr>
          <w:rFonts w:ascii="宋体" w:hAnsi="宋体"/>
          <w:color w:val="auto"/>
          <w:highlight w:val="none"/>
        </w:rPr>
        <w:t>(</w:t>
      </w:r>
      <w:r>
        <w:rPr>
          <w:rFonts w:hint="eastAsia" w:ascii="宋体" w:hAnsi="宋体"/>
          <w:color w:val="auto"/>
          <w:highlight w:val="none"/>
        </w:rPr>
        <w:t>盖章</w:t>
      </w:r>
      <w:r>
        <w:rPr>
          <w:rFonts w:ascii="宋体" w:hAnsi="宋体"/>
          <w:color w:val="auto"/>
          <w:highlight w:val="none"/>
        </w:rPr>
        <w:t>)</w:t>
      </w:r>
      <w:r>
        <w:rPr>
          <w:rFonts w:hint="eastAsia" w:ascii="宋体" w:hAnsi="宋体"/>
          <w:snapToGrid w:val="0"/>
          <w:color w:val="auto"/>
          <w:kern w:val="0"/>
          <w:highlight w:val="none"/>
        </w:rPr>
        <w:t xml:space="preserve">                              乙       方</w:t>
      </w:r>
      <w:r>
        <w:rPr>
          <w:rFonts w:ascii="宋体" w:hAnsi="宋体"/>
          <w:color w:val="auto"/>
          <w:highlight w:val="none"/>
        </w:rPr>
        <w:t>(</w:t>
      </w:r>
      <w:r>
        <w:rPr>
          <w:rFonts w:hint="eastAsia" w:ascii="宋体" w:hAnsi="宋体"/>
          <w:color w:val="auto"/>
          <w:highlight w:val="none"/>
        </w:rPr>
        <w:t>盖章</w:t>
      </w:r>
      <w:r>
        <w:rPr>
          <w:rFonts w:ascii="宋体" w:hAnsi="宋体"/>
          <w:color w:val="auto"/>
          <w:highlight w:val="none"/>
        </w:rPr>
        <w:t>)</w:t>
      </w:r>
    </w:p>
    <w:p>
      <w:pPr>
        <w:spacing w:line="360" w:lineRule="exact"/>
        <w:ind w:firstLine="357" w:firstLineChars="170"/>
        <w:rPr>
          <w:rFonts w:ascii="宋体" w:hAnsi="宋体"/>
          <w:snapToGrid w:val="0"/>
          <w:color w:val="auto"/>
          <w:kern w:val="0"/>
          <w:highlight w:val="none"/>
        </w:rPr>
      </w:pPr>
      <w:r>
        <w:rPr>
          <w:rFonts w:hint="eastAsia" w:ascii="宋体" w:hAnsi="宋体"/>
          <w:snapToGrid w:val="0"/>
          <w:color w:val="auto"/>
          <w:kern w:val="0"/>
          <w:highlight w:val="none"/>
        </w:rPr>
        <w:t>法 人 代 表                                     法 人 代 表</w:t>
      </w:r>
    </w:p>
    <w:p>
      <w:pPr>
        <w:spacing w:line="360" w:lineRule="exact"/>
        <w:ind w:firstLine="359" w:firstLineChars="171"/>
        <w:rPr>
          <w:rFonts w:ascii="宋体" w:hAnsi="宋体"/>
          <w:snapToGrid w:val="0"/>
          <w:color w:val="auto"/>
          <w:kern w:val="0"/>
          <w:highlight w:val="none"/>
        </w:rPr>
      </w:pPr>
      <w:r>
        <w:rPr>
          <w:rFonts w:hint="eastAsia" w:ascii="宋体" w:hAnsi="宋体"/>
          <w:snapToGrid w:val="0"/>
          <w:color w:val="auto"/>
          <w:kern w:val="0"/>
          <w:highlight w:val="none"/>
        </w:rPr>
        <w:t>或授权代理人：                                  或授权代理人：</w:t>
      </w:r>
    </w:p>
    <w:p>
      <w:pPr>
        <w:spacing w:line="400" w:lineRule="exact"/>
        <w:jc w:val="right"/>
        <w:rPr>
          <w:rFonts w:ascii="宋体" w:hAnsi="宋体"/>
          <w:snapToGrid w:val="0"/>
          <w:color w:val="auto"/>
          <w:kern w:val="0"/>
          <w:highlight w:val="none"/>
        </w:rPr>
      </w:pPr>
      <w:r>
        <w:rPr>
          <w:rFonts w:hint="eastAsia" w:ascii="宋体" w:hAnsi="宋体"/>
          <w:snapToGrid w:val="0"/>
          <w:color w:val="auto"/>
          <w:kern w:val="0"/>
          <w:highlight w:val="none"/>
        </w:rPr>
        <w:t>签约日期：</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年</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月</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日</w:t>
      </w:r>
    </w:p>
    <w:p>
      <w:pPr>
        <w:spacing w:before="120" w:beforeLines="50" w:line="400" w:lineRule="exact"/>
        <w:jc w:val="center"/>
        <w:rPr>
          <w:rFonts w:ascii="宋体" w:hAnsi="宋体"/>
          <w:b/>
          <w:color w:val="auto"/>
          <w:szCs w:val="28"/>
          <w:highlight w:val="none"/>
        </w:rPr>
      </w:pPr>
      <w:r>
        <w:rPr>
          <w:rFonts w:ascii="宋体" w:hAnsi="宋体"/>
          <w:b/>
          <w:bCs/>
          <w:snapToGrid w:val="0"/>
          <w:color w:val="auto"/>
          <w:kern w:val="0"/>
          <w:highlight w:val="none"/>
        </w:rPr>
        <w:br w:type="page"/>
      </w:r>
      <w:bookmarkStart w:id="63" w:name="_Toc185670844"/>
      <w:bookmarkStart w:id="64" w:name="_Toc168227940"/>
      <w:bookmarkStart w:id="65" w:name="_Toc214682915"/>
      <w:bookmarkStart w:id="66" w:name="_Toc185412941"/>
      <w:bookmarkStart w:id="67" w:name="_Toc258313648"/>
      <w:bookmarkStart w:id="68" w:name="_Toc185672381"/>
      <w:bookmarkStart w:id="69" w:name="_Toc186515170"/>
      <w:bookmarkStart w:id="70" w:name="_Toc185671412"/>
      <w:r>
        <w:rPr>
          <w:rFonts w:hint="eastAsia" w:ascii="宋体" w:hAnsi="宋体"/>
          <w:b/>
          <w:color w:val="auto"/>
          <w:szCs w:val="28"/>
          <w:highlight w:val="none"/>
        </w:rPr>
        <w:t>合同附件一  廉政合同</w:t>
      </w:r>
      <w:bookmarkEnd w:id="63"/>
      <w:bookmarkEnd w:id="64"/>
      <w:bookmarkEnd w:id="65"/>
      <w:bookmarkEnd w:id="66"/>
      <w:bookmarkEnd w:id="67"/>
      <w:bookmarkEnd w:id="68"/>
      <w:bookmarkEnd w:id="69"/>
      <w:bookmarkEnd w:id="70"/>
    </w:p>
    <w:p>
      <w:pPr>
        <w:spacing w:before="120" w:beforeLines="50" w:line="400" w:lineRule="exact"/>
        <w:jc w:val="center"/>
        <w:rPr>
          <w:rFonts w:ascii="宋体" w:hAnsi="宋体"/>
          <w:b/>
          <w:color w:val="auto"/>
          <w:szCs w:val="28"/>
          <w:highlight w:val="none"/>
        </w:rPr>
      </w:pPr>
      <w:r>
        <w:rPr>
          <w:rFonts w:hint="eastAsia" w:ascii="宋体" w:hAnsi="宋体"/>
          <w:b/>
          <w:color w:val="auto"/>
          <w:szCs w:val="28"/>
          <w:highlight w:val="none"/>
        </w:rPr>
        <w:t>（工程名称）廉政合同（格式）</w:t>
      </w:r>
    </w:p>
    <w:p>
      <w:pPr>
        <w:spacing w:line="400" w:lineRule="exact"/>
        <w:jc w:val="center"/>
        <w:rPr>
          <w:rFonts w:ascii="宋体" w:hAnsi="宋体"/>
          <w:b/>
          <w:color w:val="auto"/>
          <w:highlight w:val="none"/>
        </w:rPr>
      </w:pPr>
    </w:p>
    <w:p>
      <w:pPr>
        <w:spacing w:line="440" w:lineRule="exact"/>
        <w:ind w:firstLine="420" w:firstLineChars="200"/>
        <w:rPr>
          <w:rFonts w:ascii="宋体" w:hAnsi="宋体"/>
          <w:color w:val="auto"/>
          <w:highlight w:val="none"/>
        </w:rPr>
      </w:pPr>
      <w:r>
        <w:rPr>
          <w:rFonts w:ascii="宋体" w:hAnsi="宋体"/>
          <w:color w:val="auto"/>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ascii="宋体" w:hAnsi="宋体"/>
          <w:color w:val="auto"/>
          <w:highlight w:val="none"/>
          <w:u w:val="single"/>
        </w:rPr>
        <w:t>　</w:t>
      </w:r>
      <w:r>
        <w:rPr>
          <w:rFonts w:hint="eastAsia" w:ascii="宋体" w:hAnsi="宋体"/>
          <w:color w:val="auto"/>
          <w:highlight w:val="none"/>
          <w:u w:val="single"/>
        </w:rPr>
        <w:t xml:space="preserve">      </w:t>
      </w:r>
      <w:r>
        <w:rPr>
          <w:rFonts w:ascii="宋体" w:hAnsi="宋体"/>
          <w:color w:val="auto"/>
          <w:highlight w:val="none"/>
          <w:u w:val="single"/>
        </w:rPr>
        <w:t>　</w:t>
      </w:r>
      <w:r>
        <w:rPr>
          <w:rFonts w:ascii="宋体" w:hAnsi="宋体"/>
          <w:color w:val="auto"/>
          <w:highlight w:val="none"/>
        </w:rPr>
        <w:t>的项目法人</w:t>
      </w:r>
      <w:r>
        <w:rPr>
          <w:rFonts w:hint="eastAsia" w:ascii="宋体" w:hAnsi="宋体"/>
          <w:color w:val="auto"/>
          <w:highlight w:val="none"/>
          <w:u w:val="single"/>
        </w:rPr>
        <w:t>南通洋吕铁路开发建设有限公司</w:t>
      </w:r>
      <w:r>
        <w:rPr>
          <w:rFonts w:ascii="宋体" w:hAnsi="宋体"/>
          <w:color w:val="auto"/>
          <w:highlight w:val="none"/>
        </w:rPr>
        <w:t>（以下简称“</w:t>
      </w:r>
      <w:r>
        <w:rPr>
          <w:rFonts w:hint="eastAsia" w:ascii="宋体" w:hAnsi="宋体"/>
          <w:color w:val="auto"/>
          <w:highlight w:val="none"/>
        </w:rPr>
        <w:t>甲方</w:t>
      </w:r>
      <w:r>
        <w:rPr>
          <w:rFonts w:ascii="宋体" w:hAnsi="宋体"/>
          <w:color w:val="auto"/>
          <w:highlight w:val="none"/>
        </w:rPr>
        <w:t>”）与该项目的</w:t>
      </w:r>
      <w:r>
        <w:rPr>
          <w:rFonts w:hint="eastAsia" w:ascii="宋体" w:hAnsi="宋体"/>
          <w:color w:val="auto"/>
          <w:highlight w:val="none"/>
        </w:rPr>
        <w:t>咨询土方运输单位</w:t>
      </w:r>
      <w:r>
        <w:rPr>
          <w:rFonts w:ascii="宋体" w:hAnsi="宋体"/>
          <w:color w:val="auto"/>
          <w:highlight w:val="none"/>
          <w:u w:val="single"/>
        </w:rPr>
        <w:t>　</w:t>
      </w:r>
      <w:r>
        <w:rPr>
          <w:rFonts w:hint="eastAsia" w:ascii="宋体" w:hAnsi="宋体"/>
          <w:color w:val="auto"/>
          <w:spacing w:val="18"/>
          <w:highlight w:val="none"/>
          <w:u w:val="single"/>
        </w:rPr>
        <w:t xml:space="preserve">    </w:t>
      </w:r>
      <w:r>
        <w:rPr>
          <w:rFonts w:ascii="宋体" w:hAnsi="宋体"/>
          <w:color w:val="auto"/>
          <w:highlight w:val="none"/>
          <w:u w:val="single"/>
        </w:rPr>
        <w:t>　</w:t>
      </w:r>
      <w:r>
        <w:rPr>
          <w:rFonts w:ascii="宋体" w:hAnsi="宋体"/>
          <w:color w:val="auto"/>
          <w:highlight w:val="none"/>
        </w:rPr>
        <w:t>（以下简称“</w:t>
      </w:r>
      <w:r>
        <w:rPr>
          <w:rFonts w:hint="eastAsia" w:ascii="宋体" w:hAnsi="宋体"/>
          <w:color w:val="auto"/>
          <w:highlight w:val="none"/>
        </w:rPr>
        <w:t>乙方</w:t>
      </w:r>
      <w:r>
        <w:rPr>
          <w:rFonts w:ascii="宋体" w:hAnsi="宋体"/>
          <w:color w:val="auto"/>
          <w:highlight w:val="none"/>
        </w:rPr>
        <w:t>”），特订立如下合同。</w:t>
      </w:r>
    </w:p>
    <w:p>
      <w:pPr>
        <w:spacing w:line="440" w:lineRule="exact"/>
        <w:ind w:firstLine="420" w:firstLineChars="200"/>
        <w:outlineLvl w:val="0"/>
        <w:rPr>
          <w:rFonts w:ascii="宋体" w:hAnsi="宋体"/>
          <w:color w:val="auto"/>
          <w:highlight w:val="none"/>
        </w:rPr>
      </w:pPr>
      <w:bookmarkStart w:id="71" w:name="_Toc363473987"/>
      <w:bookmarkStart w:id="72" w:name="_Toc441134985"/>
      <w:bookmarkStart w:id="73" w:name="_Toc452666734"/>
      <w:bookmarkStart w:id="74" w:name="_Toc465848843"/>
      <w:bookmarkStart w:id="75" w:name="_Toc437328193"/>
      <w:bookmarkStart w:id="76" w:name="_Toc20494"/>
      <w:r>
        <w:rPr>
          <w:rFonts w:ascii="宋体" w:hAnsi="宋体"/>
          <w:color w:val="auto"/>
          <w:highlight w:val="none"/>
        </w:rPr>
        <w:t>1.</w:t>
      </w:r>
      <w:r>
        <w:rPr>
          <w:rFonts w:hint="eastAsia" w:ascii="宋体" w:hAnsi="宋体"/>
          <w:color w:val="auto"/>
          <w:highlight w:val="none"/>
        </w:rPr>
        <w:t>甲方</w:t>
      </w:r>
      <w:r>
        <w:rPr>
          <w:rFonts w:ascii="宋体" w:hAnsi="宋体"/>
          <w:color w:val="auto"/>
          <w:highlight w:val="none"/>
        </w:rPr>
        <w:t>和</w:t>
      </w:r>
      <w:r>
        <w:rPr>
          <w:rFonts w:hint="eastAsia" w:ascii="宋体" w:hAnsi="宋体"/>
          <w:color w:val="auto"/>
          <w:highlight w:val="none"/>
        </w:rPr>
        <w:t>乙方</w:t>
      </w:r>
      <w:r>
        <w:rPr>
          <w:rFonts w:ascii="宋体" w:hAnsi="宋体"/>
          <w:color w:val="auto"/>
          <w:highlight w:val="none"/>
        </w:rPr>
        <w:t>双方的权利和义务</w:t>
      </w:r>
      <w:bookmarkEnd w:id="71"/>
      <w:bookmarkEnd w:id="72"/>
      <w:bookmarkEnd w:id="73"/>
      <w:bookmarkEnd w:id="74"/>
      <w:bookmarkEnd w:id="75"/>
      <w:bookmarkEnd w:id="76"/>
    </w:p>
    <w:p>
      <w:pPr>
        <w:spacing w:line="440" w:lineRule="exact"/>
        <w:ind w:firstLine="315" w:firstLineChars="150"/>
        <w:rPr>
          <w:rFonts w:ascii="宋体" w:hAnsi="宋体"/>
          <w:color w:val="auto"/>
          <w:highlight w:val="none"/>
        </w:rPr>
      </w:pPr>
      <w:r>
        <w:rPr>
          <w:rFonts w:ascii="宋体" w:hAnsi="宋体"/>
          <w:color w:val="auto"/>
          <w:highlight w:val="none"/>
        </w:rPr>
        <w:t>（1）严格遵守党的政策规定和国家有关法律法规及交通运输部的有关规定。</w:t>
      </w:r>
    </w:p>
    <w:p>
      <w:pPr>
        <w:spacing w:line="440" w:lineRule="exact"/>
        <w:ind w:firstLine="315" w:firstLineChars="150"/>
        <w:rPr>
          <w:rFonts w:ascii="宋体" w:hAnsi="宋体"/>
          <w:color w:val="auto"/>
          <w:highlight w:val="none"/>
        </w:rPr>
      </w:pPr>
      <w:r>
        <w:rPr>
          <w:rFonts w:ascii="宋体" w:hAnsi="宋体"/>
          <w:color w:val="auto"/>
          <w:highlight w:val="none"/>
        </w:rPr>
        <w:t>（2）严格执行</w:t>
      </w:r>
      <w:r>
        <w:rPr>
          <w:rFonts w:ascii="宋体" w:hAnsi="宋体"/>
          <w:color w:val="auto"/>
          <w:highlight w:val="none"/>
          <w:u w:val="single"/>
        </w:rPr>
        <w:t>　</w:t>
      </w:r>
      <w:r>
        <w:rPr>
          <w:rFonts w:hint="eastAsia" w:ascii="宋体" w:hAnsi="宋体"/>
          <w:color w:val="auto"/>
          <w:highlight w:val="none"/>
          <w:u w:val="single"/>
        </w:rPr>
        <w:t xml:space="preserve">         </w:t>
      </w:r>
      <w:r>
        <w:rPr>
          <w:rFonts w:ascii="宋体" w:hAnsi="宋体"/>
          <w:color w:val="auto"/>
          <w:highlight w:val="none"/>
          <w:u w:val="single"/>
        </w:rPr>
        <w:t>　</w:t>
      </w:r>
      <w:r>
        <w:rPr>
          <w:rFonts w:ascii="宋体" w:hAnsi="宋体"/>
          <w:color w:val="auto"/>
          <w:highlight w:val="none"/>
        </w:rPr>
        <w:t>合同协议书，自觉按合同办事。</w:t>
      </w:r>
    </w:p>
    <w:p>
      <w:pPr>
        <w:spacing w:line="440" w:lineRule="exact"/>
        <w:ind w:firstLine="315" w:firstLineChars="150"/>
        <w:rPr>
          <w:rFonts w:ascii="宋体" w:hAnsi="宋体"/>
          <w:color w:val="auto"/>
          <w:highlight w:val="none"/>
        </w:rPr>
      </w:pPr>
      <w:r>
        <w:rPr>
          <w:rFonts w:ascii="宋体" w:hAnsi="宋体"/>
          <w:color w:val="auto"/>
          <w:highlight w:val="none"/>
        </w:rPr>
        <w:t>（3）双方的业务活动坚持公开、公正、诚信、透明的原则（法律认定的商业秘密和合同文件另有规定除外），不得损害国家和集体利益，不得违反工程建设管理规章制度。</w:t>
      </w:r>
    </w:p>
    <w:p>
      <w:pPr>
        <w:spacing w:line="440" w:lineRule="exact"/>
        <w:ind w:firstLine="315" w:firstLineChars="150"/>
        <w:rPr>
          <w:rFonts w:ascii="宋体" w:hAnsi="宋体"/>
          <w:color w:val="auto"/>
          <w:highlight w:val="none"/>
        </w:rPr>
      </w:pPr>
      <w:r>
        <w:rPr>
          <w:rFonts w:ascii="宋体" w:hAnsi="宋体"/>
          <w:color w:val="auto"/>
          <w:highlight w:val="none"/>
        </w:rPr>
        <w:t>（4）建立健全廉政制度，开展廉政教育，设立廉政告示牌，公布举报电话，监督并认真查处违法违纪行为。</w:t>
      </w:r>
    </w:p>
    <w:p>
      <w:pPr>
        <w:spacing w:line="440" w:lineRule="exact"/>
        <w:ind w:firstLine="315" w:firstLineChars="150"/>
        <w:rPr>
          <w:rFonts w:ascii="宋体" w:hAnsi="宋体"/>
          <w:color w:val="auto"/>
          <w:highlight w:val="none"/>
        </w:rPr>
      </w:pPr>
      <w:r>
        <w:rPr>
          <w:rFonts w:ascii="宋体" w:hAnsi="宋体"/>
          <w:color w:val="auto"/>
          <w:highlight w:val="none"/>
        </w:rPr>
        <w:t>（5）发现对方在业务活动中有违反廉政规定的行为，有及时提醒对方纠正的权利和义务。</w:t>
      </w:r>
    </w:p>
    <w:p>
      <w:pPr>
        <w:spacing w:line="440" w:lineRule="exact"/>
        <w:ind w:firstLine="315" w:firstLineChars="150"/>
        <w:rPr>
          <w:rFonts w:ascii="宋体" w:hAnsi="宋体"/>
          <w:color w:val="auto"/>
          <w:highlight w:val="none"/>
        </w:rPr>
      </w:pPr>
      <w:r>
        <w:rPr>
          <w:rFonts w:ascii="宋体" w:hAnsi="宋体"/>
          <w:color w:val="auto"/>
          <w:highlight w:val="none"/>
        </w:rPr>
        <w:t>（6）发现对方严重违反本合同义务条款的行为，有向其上级有关部门举报、建议给予处理并要求告知处理结果的权利。</w:t>
      </w:r>
    </w:p>
    <w:p>
      <w:pPr>
        <w:spacing w:line="440" w:lineRule="exact"/>
        <w:ind w:firstLine="420" w:firstLineChars="200"/>
        <w:outlineLvl w:val="0"/>
        <w:rPr>
          <w:rFonts w:ascii="宋体" w:hAnsi="宋体"/>
          <w:color w:val="auto"/>
          <w:highlight w:val="none"/>
        </w:rPr>
      </w:pPr>
      <w:bookmarkStart w:id="77" w:name="_Toc437328194"/>
      <w:bookmarkStart w:id="78" w:name="_Toc4022"/>
      <w:bookmarkStart w:id="79" w:name="_Toc441134986"/>
      <w:bookmarkStart w:id="80" w:name="_Toc465848844"/>
      <w:bookmarkStart w:id="81" w:name="_Toc452666735"/>
      <w:bookmarkStart w:id="82" w:name="_Toc363473988"/>
      <w:r>
        <w:rPr>
          <w:rFonts w:ascii="宋体" w:hAnsi="宋体"/>
          <w:color w:val="auto"/>
          <w:highlight w:val="none"/>
        </w:rPr>
        <w:t>2.</w:t>
      </w:r>
      <w:r>
        <w:rPr>
          <w:rFonts w:hint="eastAsia" w:ascii="宋体" w:hAnsi="宋体"/>
          <w:color w:val="auto"/>
          <w:highlight w:val="none"/>
        </w:rPr>
        <w:t>甲方</w:t>
      </w:r>
      <w:r>
        <w:rPr>
          <w:rFonts w:ascii="宋体" w:hAnsi="宋体"/>
          <w:color w:val="auto"/>
          <w:highlight w:val="none"/>
        </w:rPr>
        <w:t>的义务</w:t>
      </w:r>
      <w:bookmarkEnd w:id="77"/>
      <w:bookmarkEnd w:id="78"/>
      <w:bookmarkEnd w:id="79"/>
      <w:bookmarkEnd w:id="80"/>
      <w:bookmarkEnd w:id="81"/>
      <w:bookmarkEnd w:id="82"/>
    </w:p>
    <w:p>
      <w:pPr>
        <w:spacing w:line="440" w:lineRule="exact"/>
        <w:ind w:firstLine="315" w:firstLineChars="150"/>
        <w:rPr>
          <w:rFonts w:ascii="宋体" w:hAnsi="宋体"/>
          <w:color w:val="auto"/>
          <w:highlight w:val="none"/>
        </w:rPr>
      </w:pPr>
      <w:r>
        <w:rPr>
          <w:rFonts w:ascii="宋体" w:hAnsi="宋体"/>
          <w:color w:val="auto"/>
          <w:highlight w:val="none"/>
        </w:rPr>
        <w:t>（1）</w:t>
      </w:r>
      <w:r>
        <w:rPr>
          <w:rFonts w:hint="eastAsia" w:ascii="宋体" w:hAnsi="宋体"/>
          <w:color w:val="auto"/>
          <w:highlight w:val="none"/>
        </w:rPr>
        <w:t>甲方</w:t>
      </w:r>
      <w:r>
        <w:rPr>
          <w:rFonts w:ascii="宋体" w:hAnsi="宋体"/>
          <w:color w:val="auto"/>
          <w:highlight w:val="none"/>
        </w:rPr>
        <w:t>及其工作人员不得索要或接受土方运输单位的礼金、有价证券和贵重物品，不得让</w:t>
      </w:r>
      <w:r>
        <w:rPr>
          <w:rFonts w:hint="eastAsia" w:ascii="宋体" w:hAnsi="宋体"/>
          <w:color w:val="auto"/>
          <w:highlight w:val="none"/>
        </w:rPr>
        <w:t>乙方</w:t>
      </w:r>
      <w:r>
        <w:rPr>
          <w:rFonts w:ascii="宋体" w:hAnsi="宋体"/>
          <w:color w:val="auto"/>
          <w:highlight w:val="none"/>
        </w:rPr>
        <w:t>报销任何应由</w:t>
      </w:r>
      <w:r>
        <w:rPr>
          <w:rFonts w:hint="eastAsia" w:ascii="宋体" w:hAnsi="宋体"/>
          <w:color w:val="auto"/>
          <w:highlight w:val="none"/>
        </w:rPr>
        <w:t>甲方</w:t>
      </w:r>
      <w:r>
        <w:rPr>
          <w:rFonts w:ascii="宋体" w:hAnsi="宋体"/>
          <w:color w:val="auto"/>
          <w:highlight w:val="none"/>
        </w:rPr>
        <w:t>或</w:t>
      </w:r>
      <w:r>
        <w:rPr>
          <w:rFonts w:hint="eastAsia" w:ascii="宋体" w:hAnsi="宋体"/>
          <w:color w:val="auto"/>
          <w:highlight w:val="none"/>
        </w:rPr>
        <w:t>甲方</w:t>
      </w:r>
      <w:r>
        <w:rPr>
          <w:rFonts w:ascii="宋体" w:hAnsi="宋体"/>
          <w:color w:val="auto"/>
          <w:highlight w:val="none"/>
        </w:rPr>
        <w:t>工作人员个人支付的费用等。</w:t>
      </w:r>
    </w:p>
    <w:p>
      <w:pPr>
        <w:spacing w:line="440" w:lineRule="exact"/>
        <w:ind w:firstLine="315" w:firstLineChars="150"/>
        <w:rPr>
          <w:rFonts w:ascii="宋体" w:hAnsi="宋体"/>
          <w:color w:val="auto"/>
          <w:highlight w:val="none"/>
        </w:rPr>
      </w:pPr>
      <w:r>
        <w:rPr>
          <w:rFonts w:ascii="宋体" w:hAnsi="宋体"/>
          <w:color w:val="auto"/>
          <w:highlight w:val="none"/>
        </w:rPr>
        <w:t>（2）</w:t>
      </w:r>
      <w:r>
        <w:rPr>
          <w:rFonts w:hint="eastAsia" w:ascii="宋体" w:hAnsi="宋体"/>
          <w:color w:val="auto"/>
          <w:highlight w:val="none"/>
        </w:rPr>
        <w:t>甲方</w:t>
      </w:r>
      <w:r>
        <w:rPr>
          <w:rFonts w:ascii="宋体" w:hAnsi="宋体"/>
          <w:color w:val="auto"/>
          <w:highlight w:val="none"/>
        </w:rPr>
        <w:t>工作人员不得参加</w:t>
      </w:r>
      <w:r>
        <w:rPr>
          <w:rFonts w:hint="eastAsia" w:ascii="宋体" w:hAnsi="宋体"/>
          <w:color w:val="auto"/>
          <w:highlight w:val="none"/>
        </w:rPr>
        <w:t>乙方</w:t>
      </w:r>
      <w:r>
        <w:rPr>
          <w:rFonts w:ascii="宋体" w:hAnsi="宋体"/>
          <w:color w:val="auto"/>
          <w:highlight w:val="none"/>
        </w:rPr>
        <w:t>安排的超标准宴请和娱乐活动；不得接受</w:t>
      </w:r>
      <w:r>
        <w:rPr>
          <w:rFonts w:hint="eastAsia" w:ascii="宋体" w:hAnsi="宋体"/>
          <w:color w:val="auto"/>
          <w:highlight w:val="none"/>
        </w:rPr>
        <w:t>乙方</w:t>
      </w:r>
      <w:r>
        <w:rPr>
          <w:rFonts w:ascii="宋体" w:hAnsi="宋体"/>
          <w:color w:val="auto"/>
          <w:highlight w:val="none"/>
        </w:rPr>
        <w:t>提供的通讯工具、交通工具和高档办公用品等。</w:t>
      </w:r>
    </w:p>
    <w:p>
      <w:pPr>
        <w:spacing w:line="440" w:lineRule="exact"/>
        <w:ind w:firstLine="315" w:firstLineChars="150"/>
        <w:rPr>
          <w:rFonts w:ascii="宋体" w:hAnsi="宋体"/>
          <w:color w:val="auto"/>
          <w:highlight w:val="none"/>
        </w:rPr>
      </w:pPr>
      <w:r>
        <w:rPr>
          <w:rFonts w:ascii="宋体" w:hAnsi="宋体"/>
          <w:color w:val="auto"/>
          <w:highlight w:val="none"/>
        </w:rPr>
        <w:t>（3）</w:t>
      </w:r>
      <w:r>
        <w:rPr>
          <w:rFonts w:hint="eastAsia" w:ascii="宋体" w:hAnsi="宋体"/>
          <w:color w:val="auto"/>
          <w:highlight w:val="none"/>
        </w:rPr>
        <w:t>甲方</w:t>
      </w:r>
      <w:r>
        <w:rPr>
          <w:rFonts w:ascii="宋体" w:hAnsi="宋体"/>
          <w:color w:val="auto"/>
          <w:highlight w:val="none"/>
        </w:rPr>
        <w:t>及其工作人员不得要求或者接受</w:t>
      </w:r>
      <w:r>
        <w:rPr>
          <w:rFonts w:hint="eastAsia" w:ascii="宋体" w:hAnsi="宋体"/>
          <w:color w:val="auto"/>
          <w:highlight w:val="none"/>
        </w:rPr>
        <w:t>乙方</w:t>
      </w:r>
      <w:r>
        <w:rPr>
          <w:rFonts w:ascii="宋体" w:hAnsi="宋体"/>
          <w:color w:val="auto"/>
          <w:highlight w:val="none"/>
        </w:rPr>
        <w:t>为其住房装修、婚丧嫁娶活动、配偶子女的工作安排以及出国出境、旅游等提供方便等。</w:t>
      </w:r>
    </w:p>
    <w:p>
      <w:pPr>
        <w:spacing w:line="440" w:lineRule="exact"/>
        <w:ind w:firstLine="315" w:firstLineChars="150"/>
        <w:rPr>
          <w:rFonts w:ascii="宋体" w:hAnsi="宋体"/>
          <w:color w:val="auto"/>
          <w:highlight w:val="none"/>
        </w:rPr>
      </w:pPr>
      <w:r>
        <w:rPr>
          <w:rFonts w:ascii="宋体" w:hAnsi="宋体"/>
          <w:color w:val="auto"/>
          <w:highlight w:val="none"/>
        </w:rPr>
        <w:t>（4）</w:t>
      </w:r>
      <w:r>
        <w:rPr>
          <w:rFonts w:hint="eastAsia" w:ascii="宋体" w:hAnsi="宋体"/>
          <w:color w:val="auto"/>
          <w:highlight w:val="none"/>
        </w:rPr>
        <w:t>甲方</w:t>
      </w:r>
      <w:r>
        <w:rPr>
          <w:rFonts w:ascii="宋体" w:hAnsi="宋体"/>
          <w:color w:val="auto"/>
          <w:highlight w:val="none"/>
        </w:rPr>
        <w:t>工作人员及其配偶、子女不得从事与</w:t>
      </w:r>
      <w:r>
        <w:rPr>
          <w:rFonts w:hint="eastAsia" w:ascii="宋体" w:hAnsi="宋体"/>
          <w:color w:val="auto"/>
          <w:highlight w:val="none"/>
        </w:rPr>
        <w:t>甲方</w:t>
      </w:r>
      <w:r>
        <w:rPr>
          <w:rFonts w:ascii="宋体" w:hAnsi="宋体"/>
          <w:color w:val="auto"/>
          <w:highlight w:val="none"/>
        </w:rPr>
        <w:t>工程有关的材料设备供应、工程分包、劳务等经济活动等。</w:t>
      </w:r>
    </w:p>
    <w:p>
      <w:pPr>
        <w:spacing w:line="440" w:lineRule="exact"/>
        <w:ind w:firstLine="315" w:firstLineChars="150"/>
        <w:rPr>
          <w:rFonts w:ascii="宋体" w:hAnsi="宋体"/>
          <w:color w:val="auto"/>
          <w:highlight w:val="none"/>
        </w:rPr>
      </w:pPr>
      <w:r>
        <w:rPr>
          <w:rFonts w:ascii="宋体" w:hAnsi="宋体"/>
          <w:color w:val="auto"/>
          <w:highlight w:val="none"/>
        </w:rPr>
        <w:t>（5）</w:t>
      </w:r>
      <w:r>
        <w:rPr>
          <w:rFonts w:hint="eastAsia" w:ascii="宋体" w:hAnsi="宋体"/>
          <w:color w:val="auto"/>
          <w:highlight w:val="none"/>
        </w:rPr>
        <w:t>甲方</w:t>
      </w:r>
      <w:r>
        <w:rPr>
          <w:rFonts w:ascii="宋体" w:hAnsi="宋体"/>
          <w:color w:val="auto"/>
          <w:highlight w:val="none"/>
        </w:rPr>
        <w:t>工作人员要秉公办事，不准营私舞弊，不准利用职权从事各种个人有偿中介活动和安排个人施工队伍。</w:t>
      </w:r>
    </w:p>
    <w:p>
      <w:pPr>
        <w:spacing w:line="440" w:lineRule="exact"/>
        <w:ind w:firstLine="420" w:firstLineChars="200"/>
        <w:outlineLvl w:val="0"/>
        <w:rPr>
          <w:rFonts w:ascii="宋体" w:hAnsi="宋体"/>
          <w:color w:val="auto"/>
          <w:highlight w:val="none"/>
        </w:rPr>
      </w:pPr>
      <w:bookmarkStart w:id="83" w:name="_Toc452666736"/>
      <w:bookmarkStart w:id="84" w:name="_Toc363473989"/>
      <w:bookmarkStart w:id="85" w:name="_Toc29988"/>
      <w:bookmarkStart w:id="86" w:name="_Toc437328195"/>
      <w:bookmarkStart w:id="87" w:name="_Toc441134987"/>
      <w:bookmarkStart w:id="88" w:name="_Toc465848845"/>
      <w:r>
        <w:rPr>
          <w:rFonts w:ascii="宋体" w:hAnsi="宋体"/>
          <w:color w:val="auto"/>
          <w:highlight w:val="none"/>
        </w:rPr>
        <w:t>3.</w:t>
      </w:r>
      <w:r>
        <w:rPr>
          <w:rFonts w:hint="eastAsia" w:ascii="宋体" w:hAnsi="宋体"/>
          <w:color w:val="auto"/>
          <w:highlight w:val="none"/>
        </w:rPr>
        <w:t>乙方</w:t>
      </w:r>
      <w:r>
        <w:rPr>
          <w:rFonts w:ascii="宋体" w:hAnsi="宋体"/>
          <w:color w:val="auto"/>
          <w:highlight w:val="none"/>
        </w:rPr>
        <w:t>的义务</w:t>
      </w:r>
      <w:bookmarkEnd w:id="83"/>
      <w:bookmarkEnd w:id="84"/>
      <w:bookmarkEnd w:id="85"/>
      <w:bookmarkEnd w:id="86"/>
      <w:bookmarkEnd w:id="87"/>
      <w:bookmarkEnd w:id="88"/>
    </w:p>
    <w:p>
      <w:pPr>
        <w:spacing w:line="440" w:lineRule="exact"/>
        <w:ind w:firstLine="315" w:firstLineChars="150"/>
        <w:rPr>
          <w:rFonts w:ascii="宋体" w:hAnsi="宋体"/>
          <w:color w:val="auto"/>
          <w:highlight w:val="none"/>
        </w:rPr>
      </w:pPr>
      <w:r>
        <w:rPr>
          <w:rFonts w:ascii="宋体" w:hAnsi="宋体"/>
          <w:color w:val="auto"/>
          <w:highlight w:val="none"/>
        </w:rPr>
        <w:t>（1）</w:t>
      </w:r>
      <w:r>
        <w:rPr>
          <w:rFonts w:hint="eastAsia" w:ascii="宋体" w:hAnsi="宋体"/>
          <w:color w:val="auto"/>
          <w:highlight w:val="none"/>
        </w:rPr>
        <w:t>乙方</w:t>
      </w:r>
      <w:r>
        <w:rPr>
          <w:rFonts w:ascii="宋体" w:hAnsi="宋体"/>
          <w:color w:val="auto"/>
          <w:highlight w:val="none"/>
        </w:rPr>
        <w:t>不得以任何理由向</w:t>
      </w:r>
      <w:r>
        <w:rPr>
          <w:rFonts w:hint="eastAsia" w:ascii="宋体" w:hAnsi="宋体"/>
          <w:color w:val="auto"/>
          <w:highlight w:val="none"/>
        </w:rPr>
        <w:t>甲方</w:t>
      </w:r>
      <w:r>
        <w:rPr>
          <w:rFonts w:ascii="宋体" w:hAnsi="宋体"/>
          <w:color w:val="auto"/>
          <w:highlight w:val="none"/>
        </w:rPr>
        <w:t>及其工作人员行贿或馈赠礼金、有价证券、贵重礼品。</w:t>
      </w:r>
    </w:p>
    <w:p>
      <w:pPr>
        <w:spacing w:line="440" w:lineRule="exact"/>
        <w:ind w:firstLine="315" w:firstLineChars="150"/>
        <w:rPr>
          <w:rFonts w:ascii="宋体" w:hAnsi="宋体"/>
          <w:color w:val="auto"/>
          <w:highlight w:val="none"/>
        </w:rPr>
      </w:pPr>
      <w:r>
        <w:rPr>
          <w:rFonts w:ascii="宋体" w:hAnsi="宋体"/>
          <w:color w:val="auto"/>
          <w:highlight w:val="none"/>
        </w:rPr>
        <w:t>（2）</w:t>
      </w:r>
      <w:r>
        <w:rPr>
          <w:rFonts w:hint="eastAsia" w:ascii="宋体" w:hAnsi="宋体"/>
          <w:color w:val="auto"/>
          <w:highlight w:val="none"/>
        </w:rPr>
        <w:t>乙方</w:t>
      </w:r>
      <w:r>
        <w:rPr>
          <w:rFonts w:ascii="宋体" w:hAnsi="宋体"/>
          <w:color w:val="auto"/>
          <w:highlight w:val="none"/>
        </w:rPr>
        <w:t>不得以任何名义为</w:t>
      </w:r>
      <w:r>
        <w:rPr>
          <w:rFonts w:hint="eastAsia" w:ascii="宋体" w:hAnsi="宋体"/>
          <w:color w:val="auto"/>
          <w:highlight w:val="none"/>
        </w:rPr>
        <w:t>甲方</w:t>
      </w:r>
      <w:r>
        <w:rPr>
          <w:rFonts w:ascii="宋体" w:hAnsi="宋体"/>
          <w:color w:val="auto"/>
          <w:highlight w:val="none"/>
        </w:rPr>
        <w:t>及其工作人员报销应由</w:t>
      </w:r>
      <w:r>
        <w:rPr>
          <w:rFonts w:hint="eastAsia" w:ascii="宋体" w:hAnsi="宋体"/>
          <w:color w:val="auto"/>
          <w:highlight w:val="none"/>
        </w:rPr>
        <w:t>甲方</w:t>
      </w:r>
      <w:r>
        <w:rPr>
          <w:rFonts w:ascii="宋体" w:hAnsi="宋体"/>
          <w:color w:val="auto"/>
          <w:highlight w:val="none"/>
        </w:rPr>
        <w:t>单位或个人支付的任何费用。</w:t>
      </w:r>
    </w:p>
    <w:p>
      <w:pPr>
        <w:spacing w:line="440" w:lineRule="exact"/>
        <w:ind w:firstLine="315" w:firstLineChars="150"/>
        <w:rPr>
          <w:rFonts w:ascii="宋体" w:hAnsi="宋体"/>
          <w:color w:val="auto"/>
          <w:highlight w:val="none"/>
        </w:rPr>
      </w:pPr>
      <w:r>
        <w:rPr>
          <w:rFonts w:ascii="宋体" w:hAnsi="宋体"/>
          <w:color w:val="auto"/>
          <w:highlight w:val="none"/>
        </w:rPr>
        <w:t>（3）</w:t>
      </w:r>
      <w:r>
        <w:rPr>
          <w:rFonts w:hint="eastAsia" w:ascii="宋体" w:hAnsi="宋体"/>
          <w:color w:val="auto"/>
          <w:highlight w:val="none"/>
        </w:rPr>
        <w:t>乙方</w:t>
      </w:r>
      <w:r>
        <w:rPr>
          <w:rFonts w:ascii="宋体" w:hAnsi="宋体"/>
          <w:color w:val="auto"/>
          <w:highlight w:val="none"/>
        </w:rPr>
        <w:t>不得以任何理由安排</w:t>
      </w:r>
      <w:r>
        <w:rPr>
          <w:rFonts w:hint="eastAsia" w:ascii="宋体" w:hAnsi="宋体"/>
          <w:color w:val="auto"/>
          <w:highlight w:val="none"/>
        </w:rPr>
        <w:t>甲方</w:t>
      </w:r>
      <w:r>
        <w:rPr>
          <w:rFonts w:ascii="宋体" w:hAnsi="宋体"/>
          <w:color w:val="auto"/>
          <w:highlight w:val="none"/>
        </w:rPr>
        <w:t>工作人员参加超标准宴请及娱乐活动。</w:t>
      </w:r>
    </w:p>
    <w:p>
      <w:pPr>
        <w:spacing w:line="440" w:lineRule="exact"/>
        <w:ind w:firstLine="315" w:firstLineChars="150"/>
        <w:rPr>
          <w:rFonts w:ascii="宋体" w:hAnsi="宋体"/>
          <w:color w:val="auto"/>
          <w:highlight w:val="none"/>
        </w:rPr>
      </w:pPr>
      <w:r>
        <w:rPr>
          <w:rFonts w:ascii="宋体" w:hAnsi="宋体"/>
          <w:color w:val="auto"/>
          <w:highlight w:val="none"/>
        </w:rPr>
        <w:t>（4）</w:t>
      </w:r>
      <w:r>
        <w:rPr>
          <w:rFonts w:hint="eastAsia" w:ascii="宋体" w:hAnsi="宋体"/>
          <w:color w:val="auto"/>
          <w:highlight w:val="none"/>
        </w:rPr>
        <w:t>乙方</w:t>
      </w:r>
      <w:r>
        <w:rPr>
          <w:rFonts w:ascii="宋体" w:hAnsi="宋体"/>
          <w:color w:val="auto"/>
          <w:highlight w:val="none"/>
        </w:rPr>
        <w:t>不得为</w:t>
      </w:r>
      <w:r>
        <w:rPr>
          <w:rFonts w:hint="eastAsia" w:ascii="宋体" w:hAnsi="宋体"/>
          <w:color w:val="auto"/>
          <w:highlight w:val="none"/>
        </w:rPr>
        <w:t>甲方</w:t>
      </w:r>
      <w:r>
        <w:rPr>
          <w:rFonts w:ascii="宋体" w:hAnsi="宋体"/>
          <w:color w:val="auto"/>
          <w:highlight w:val="none"/>
        </w:rPr>
        <w:t>单位和个人购置或提供通迅工具、交通工具和高档办公用品等。</w:t>
      </w:r>
    </w:p>
    <w:p>
      <w:pPr>
        <w:spacing w:line="440" w:lineRule="exact"/>
        <w:ind w:firstLine="420" w:firstLineChars="200"/>
        <w:outlineLvl w:val="0"/>
        <w:rPr>
          <w:rFonts w:ascii="宋体" w:hAnsi="宋体"/>
          <w:color w:val="auto"/>
          <w:highlight w:val="none"/>
        </w:rPr>
      </w:pPr>
      <w:bookmarkStart w:id="89" w:name="_Toc11866"/>
      <w:bookmarkStart w:id="90" w:name="_Toc452666737"/>
      <w:bookmarkStart w:id="91" w:name="_Toc465848846"/>
      <w:bookmarkStart w:id="92" w:name="_Toc437328196"/>
      <w:bookmarkStart w:id="93" w:name="_Toc363473990"/>
      <w:bookmarkStart w:id="94" w:name="_Toc441134988"/>
      <w:r>
        <w:rPr>
          <w:rFonts w:ascii="宋体" w:hAnsi="宋体"/>
          <w:color w:val="auto"/>
          <w:highlight w:val="none"/>
        </w:rPr>
        <w:t>4.违约责任</w:t>
      </w:r>
      <w:bookmarkEnd w:id="89"/>
      <w:bookmarkEnd w:id="90"/>
      <w:bookmarkEnd w:id="91"/>
      <w:bookmarkEnd w:id="92"/>
      <w:bookmarkEnd w:id="93"/>
      <w:bookmarkEnd w:id="94"/>
    </w:p>
    <w:p>
      <w:pPr>
        <w:spacing w:line="440" w:lineRule="exact"/>
        <w:ind w:firstLine="315" w:firstLineChars="150"/>
        <w:rPr>
          <w:rFonts w:ascii="宋体" w:hAnsi="宋体"/>
          <w:color w:val="auto"/>
          <w:highlight w:val="none"/>
        </w:rPr>
      </w:pPr>
      <w:r>
        <w:rPr>
          <w:rFonts w:ascii="宋体" w:hAnsi="宋体"/>
          <w:color w:val="auto"/>
          <w:highlight w:val="none"/>
        </w:rPr>
        <w:t>（1）</w:t>
      </w:r>
      <w:r>
        <w:rPr>
          <w:rFonts w:hint="eastAsia" w:ascii="宋体" w:hAnsi="宋体"/>
          <w:color w:val="auto"/>
          <w:highlight w:val="none"/>
        </w:rPr>
        <w:t>甲方</w:t>
      </w:r>
      <w:r>
        <w:rPr>
          <w:rFonts w:ascii="宋体" w:hAnsi="宋体"/>
          <w:color w:val="auto"/>
          <w:highlight w:val="none"/>
        </w:rPr>
        <w:t>及其工作人员违反本合同第1、2条，按管理权限，依据有关规定给予党纪、政纪或组织处理；涉嫌犯罪的，移交司法机关追究刑事责任；给</w:t>
      </w:r>
      <w:r>
        <w:rPr>
          <w:rFonts w:hint="eastAsia" w:ascii="宋体" w:hAnsi="宋体"/>
          <w:color w:val="auto"/>
          <w:highlight w:val="none"/>
        </w:rPr>
        <w:t>乙方</w:t>
      </w:r>
      <w:r>
        <w:rPr>
          <w:rFonts w:ascii="宋体" w:hAnsi="宋体"/>
          <w:color w:val="auto"/>
          <w:highlight w:val="none"/>
        </w:rPr>
        <w:t>单位造成经济损失的，应予以赔偿。</w:t>
      </w:r>
    </w:p>
    <w:p>
      <w:pPr>
        <w:spacing w:line="440" w:lineRule="exact"/>
        <w:ind w:firstLine="315" w:firstLineChars="150"/>
        <w:rPr>
          <w:rFonts w:ascii="宋体" w:hAnsi="宋体"/>
          <w:color w:val="auto"/>
          <w:highlight w:val="none"/>
        </w:rPr>
      </w:pPr>
      <w:r>
        <w:rPr>
          <w:rFonts w:ascii="宋体" w:hAnsi="宋体"/>
          <w:color w:val="auto"/>
          <w:highlight w:val="none"/>
        </w:rPr>
        <w:t>（2）</w:t>
      </w:r>
      <w:r>
        <w:rPr>
          <w:rFonts w:hint="eastAsia" w:ascii="宋体" w:hAnsi="宋体"/>
          <w:color w:val="auto"/>
          <w:highlight w:val="none"/>
        </w:rPr>
        <w:t>乙方</w:t>
      </w:r>
      <w:r>
        <w:rPr>
          <w:rFonts w:ascii="宋体" w:hAnsi="宋体"/>
          <w:color w:val="auto"/>
          <w:highlight w:val="none"/>
        </w:rPr>
        <w:t>及其工作人员违反本合同第1、3条，按管理权限，依据有关规定给予党纪、政纪或组织处理；给</w:t>
      </w:r>
      <w:r>
        <w:rPr>
          <w:rFonts w:hint="eastAsia" w:ascii="宋体" w:hAnsi="宋体"/>
          <w:color w:val="auto"/>
          <w:highlight w:val="none"/>
        </w:rPr>
        <w:t>甲方</w:t>
      </w:r>
      <w:r>
        <w:rPr>
          <w:rFonts w:ascii="宋体" w:hAnsi="宋体"/>
          <w:color w:val="auto"/>
          <w:highlight w:val="none"/>
        </w:rPr>
        <w:t>单位造成经济损失的，应予以赔偿；情节严重的，</w:t>
      </w:r>
      <w:r>
        <w:rPr>
          <w:rFonts w:hint="eastAsia" w:ascii="宋体" w:hAnsi="宋体"/>
          <w:color w:val="auto"/>
          <w:highlight w:val="none"/>
        </w:rPr>
        <w:t>甲方</w:t>
      </w:r>
      <w:r>
        <w:rPr>
          <w:rFonts w:ascii="宋体" w:hAnsi="宋体"/>
          <w:color w:val="auto"/>
          <w:highlight w:val="none"/>
        </w:rPr>
        <w:t>建议交通主管部门给予</w:t>
      </w:r>
      <w:r>
        <w:rPr>
          <w:rFonts w:hint="eastAsia" w:ascii="宋体" w:hAnsi="宋体"/>
          <w:color w:val="auto"/>
          <w:highlight w:val="none"/>
        </w:rPr>
        <w:t>乙方</w:t>
      </w:r>
      <w:r>
        <w:rPr>
          <w:rFonts w:ascii="宋体" w:hAnsi="宋体"/>
          <w:color w:val="auto"/>
          <w:highlight w:val="none"/>
        </w:rPr>
        <w:t>一至三年内不得进入其主管的公路建设市场的处罚。</w:t>
      </w:r>
    </w:p>
    <w:p>
      <w:pPr>
        <w:spacing w:line="440" w:lineRule="exact"/>
        <w:ind w:firstLine="420" w:firstLineChars="200"/>
        <w:rPr>
          <w:rFonts w:ascii="宋体" w:hAnsi="宋体"/>
          <w:color w:val="auto"/>
          <w:highlight w:val="none"/>
        </w:rPr>
      </w:pPr>
      <w:r>
        <w:rPr>
          <w:rFonts w:ascii="宋体" w:hAnsi="宋体"/>
          <w:color w:val="auto"/>
          <w:highlight w:val="none"/>
        </w:rPr>
        <w:t>5.双方约定：本合同由双方或双方上级单位的纪检监察部门负责监督执行。由</w:t>
      </w:r>
      <w:r>
        <w:rPr>
          <w:rFonts w:hint="eastAsia" w:ascii="宋体" w:hAnsi="宋体"/>
          <w:color w:val="auto"/>
          <w:highlight w:val="none"/>
        </w:rPr>
        <w:t>甲方</w:t>
      </w:r>
      <w:r>
        <w:rPr>
          <w:rFonts w:ascii="宋体" w:hAnsi="宋体"/>
          <w:color w:val="auto"/>
          <w:highlight w:val="none"/>
        </w:rPr>
        <w:t>或</w:t>
      </w:r>
      <w:r>
        <w:rPr>
          <w:rFonts w:hint="eastAsia" w:ascii="宋体" w:hAnsi="宋体"/>
          <w:color w:val="auto"/>
          <w:highlight w:val="none"/>
        </w:rPr>
        <w:t>甲方</w:t>
      </w:r>
      <w:r>
        <w:rPr>
          <w:rFonts w:ascii="宋体" w:hAnsi="宋体"/>
          <w:color w:val="auto"/>
          <w:highlight w:val="none"/>
        </w:rPr>
        <w:t>上级单位的纪检监察部门约请</w:t>
      </w:r>
      <w:r>
        <w:rPr>
          <w:rFonts w:hint="eastAsia" w:ascii="宋体" w:hAnsi="宋体"/>
          <w:color w:val="auto"/>
          <w:highlight w:val="none"/>
        </w:rPr>
        <w:t>乙方</w:t>
      </w:r>
      <w:r>
        <w:rPr>
          <w:rFonts w:ascii="宋体" w:hAnsi="宋体"/>
          <w:color w:val="auto"/>
          <w:highlight w:val="none"/>
        </w:rPr>
        <w:t>或</w:t>
      </w:r>
      <w:r>
        <w:rPr>
          <w:rFonts w:hint="eastAsia" w:ascii="宋体" w:hAnsi="宋体"/>
          <w:color w:val="auto"/>
          <w:highlight w:val="none"/>
        </w:rPr>
        <w:t>乙方</w:t>
      </w:r>
      <w:r>
        <w:rPr>
          <w:rFonts w:ascii="宋体" w:hAnsi="宋体"/>
          <w:color w:val="auto"/>
          <w:highlight w:val="none"/>
        </w:rPr>
        <w:t>上级单位纪检监察部门对本合同执行情况进行检查，提出在本合同规定范围内的裁定意见。</w:t>
      </w:r>
    </w:p>
    <w:p>
      <w:pPr>
        <w:spacing w:line="440" w:lineRule="exact"/>
        <w:ind w:firstLine="420" w:firstLineChars="200"/>
        <w:rPr>
          <w:rFonts w:ascii="宋体" w:hAnsi="宋体"/>
          <w:color w:val="auto"/>
          <w:highlight w:val="none"/>
        </w:rPr>
      </w:pPr>
      <w:r>
        <w:rPr>
          <w:rFonts w:ascii="宋体" w:hAnsi="宋体"/>
          <w:color w:val="auto"/>
          <w:highlight w:val="none"/>
        </w:rPr>
        <w:t>6.本合同有效期为</w:t>
      </w:r>
      <w:r>
        <w:rPr>
          <w:rFonts w:hint="eastAsia" w:ascii="宋体" w:hAnsi="宋体"/>
          <w:color w:val="auto"/>
          <w:highlight w:val="none"/>
        </w:rPr>
        <w:t>甲方</w:t>
      </w:r>
      <w:r>
        <w:rPr>
          <w:rFonts w:ascii="宋体" w:hAnsi="宋体"/>
          <w:color w:val="auto"/>
          <w:highlight w:val="none"/>
        </w:rPr>
        <w:t>和</w:t>
      </w:r>
      <w:r>
        <w:rPr>
          <w:rFonts w:hint="eastAsia" w:ascii="宋体" w:hAnsi="宋体"/>
          <w:color w:val="auto"/>
          <w:highlight w:val="none"/>
        </w:rPr>
        <w:t>乙方</w:t>
      </w:r>
      <w:r>
        <w:rPr>
          <w:rFonts w:ascii="宋体" w:hAnsi="宋体"/>
          <w:color w:val="auto"/>
          <w:highlight w:val="none"/>
        </w:rPr>
        <w:t>签署之日起至</w:t>
      </w:r>
      <w:r>
        <w:rPr>
          <w:rFonts w:hint="eastAsia" w:ascii="宋体" w:hAnsi="宋体"/>
          <w:color w:val="auto"/>
          <w:highlight w:val="none"/>
        </w:rPr>
        <w:t>甲方取得合同约定的全部批复、</w:t>
      </w:r>
      <w:r>
        <w:rPr>
          <w:rFonts w:ascii="宋体" w:hAnsi="宋体"/>
          <w:color w:val="auto"/>
          <w:highlight w:val="none"/>
        </w:rPr>
        <w:t>该</w:t>
      </w:r>
      <w:r>
        <w:rPr>
          <w:rFonts w:hint="eastAsia" w:ascii="宋体" w:hAnsi="宋体"/>
          <w:color w:val="auto"/>
          <w:highlight w:val="none"/>
        </w:rPr>
        <w:t>咨询工作结束</w:t>
      </w:r>
      <w:r>
        <w:rPr>
          <w:rFonts w:ascii="宋体" w:hAnsi="宋体"/>
          <w:color w:val="auto"/>
          <w:highlight w:val="none"/>
        </w:rPr>
        <w:t>后止。</w:t>
      </w:r>
    </w:p>
    <w:p>
      <w:pPr>
        <w:spacing w:line="440" w:lineRule="exact"/>
        <w:ind w:firstLine="420" w:firstLineChars="200"/>
        <w:rPr>
          <w:rFonts w:ascii="宋体" w:hAnsi="宋体"/>
          <w:color w:val="auto"/>
          <w:highlight w:val="none"/>
        </w:rPr>
      </w:pPr>
      <w:r>
        <w:rPr>
          <w:rFonts w:ascii="宋体" w:hAnsi="宋体"/>
          <w:color w:val="auto"/>
          <w:highlight w:val="none"/>
        </w:rPr>
        <w:t>7.本合同作为</w:t>
      </w:r>
      <w:r>
        <w:rPr>
          <w:rFonts w:ascii="宋体" w:hAnsi="宋体"/>
          <w:color w:val="auto"/>
          <w:highlight w:val="none"/>
          <w:u w:val="single"/>
        </w:rPr>
        <w:t>　</w:t>
      </w:r>
      <w:r>
        <w:rPr>
          <w:rFonts w:hint="eastAsia" w:ascii="宋体" w:hAnsi="宋体"/>
          <w:color w:val="auto"/>
          <w:highlight w:val="none"/>
          <w:u w:val="single"/>
        </w:rPr>
        <w:t xml:space="preserve"> </w:t>
      </w:r>
      <w:r>
        <w:rPr>
          <w:rFonts w:ascii="宋体" w:hAnsi="宋体"/>
          <w:color w:val="auto"/>
          <w:highlight w:val="none"/>
          <w:u w:val="single"/>
        </w:rPr>
        <w:t>　</w:t>
      </w:r>
      <w:r>
        <w:rPr>
          <w:rFonts w:hint="eastAsia" w:ascii="宋体" w:hAnsi="宋体"/>
          <w:color w:val="auto"/>
          <w:highlight w:val="none"/>
          <w:u w:val="single"/>
        </w:rPr>
        <w:t xml:space="preserve">    </w:t>
      </w:r>
      <w:r>
        <w:rPr>
          <w:rFonts w:ascii="宋体" w:hAnsi="宋体"/>
          <w:color w:val="auto"/>
          <w:highlight w:val="none"/>
        </w:rPr>
        <w:t>合同协议书的附件，与合同协议书具有同等的法律效力，经合同双方签署后立即生效。</w:t>
      </w:r>
    </w:p>
    <w:p>
      <w:pPr>
        <w:spacing w:line="440" w:lineRule="exact"/>
        <w:ind w:firstLine="420" w:firstLineChars="200"/>
        <w:rPr>
          <w:rFonts w:ascii="宋体" w:hAnsi="宋体"/>
          <w:color w:val="auto"/>
          <w:highlight w:val="none"/>
        </w:rPr>
      </w:pPr>
      <w:r>
        <w:rPr>
          <w:rFonts w:ascii="宋体" w:hAnsi="宋体"/>
          <w:color w:val="auto"/>
          <w:highlight w:val="none"/>
        </w:rPr>
        <w:t>8.本合同一式四份，由</w:t>
      </w:r>
      <w:r>
        <w:rPr>
          <w:rFonts w:hint="eastAsia" w:ascii="宋体" w:hAnsi="宋体"/>
          <w:color w:val="auto"/>
          <w:highlight w:val="none"/>
        </w:rPr>
        <w:t>甲方</w:t>
      </w:r>
      <w:r>
        <w:rPr>
          <w:rFonts w:ascii="宋体" w:hAnsi="宋体"/>
          <w:color w:val="auto"/>
          <w:highlight w:val="none"/>
        </w:rPr>
        <w:t>和</w:t>
      </w:r>
      <w:r>
        <w:rPr>
          <w:rFonts w:hint="eastAsia" w:ascii="宋体" w:hAnsi="宋体"/>
          <w:color w:val="auto"/>
          <w:highlight w:val="none"/>
        </w:rPr>
        <w:t>乙方</w:t>
      </w:r>
      <w:r>
        <w:rPr>
          <w:rFonts w:ascii="宋体" w:hAnsi="宋体"/>
          <w:color w:val="auto"/>
          <w:highlight w:val="none"/>
        </w:rPr>
        <w:t>各执一份，送交</w:t>
      </w:r>
      <w:r>
        <w:rPr>
          <w:rFonts w:hint="eastAsia" w:ascii="宋体" w:hAnsi="宋体"/>
          <w:color w:val="auto"/>
          <w:highlight w:val="none"/>
        </w:rPr>
        <w:t>甲方</w:t>
      </w:r>
      <w:r>
        <w:rPr>
          <w:rFonts w:ascii="宋体" w:hAnsi="宋体"/>
          <w:color w:val="auto"/>
          <w:highlight w:val="none"/>
        </w:rPr>
        <w:t>和</w:t>
      </w:r>
      <w:r>
        <w:rPr>
          <w:rFonts w:hint="eastAsia" w:ascii="宋体" w:hAnsi="宋体"/>
          <w:color w:val="auto"/>
          <w:highlight w:val="none"/>
        </w:rPr>
        <w:t>乙方</w:t>
      </w:r>
      <w:r>
        <w:rPr>
          <w:rFonts w:ascii="宋体" w:hAnsi="宋体"/>
          <w:color w:val="auto"/>
          <w:highlight w:val="none"/>
        </w:rPr>
        <w:t>的监督单位各一份。</w:t>
      </w:r>
    </w:p>
    <w:p>
      <w:pPr>
        <w:spacing w:line="440" w:lineRule="exact"/>
        <w:ind w:firstLine="420" w:firstLineChars="200"/>
        <w:rPr>
          <w:rFonts w:ascii="宋体" w:hAnsi="宋体"/>
          <w:color w:val="auto"/>
          <w:highlight w:val="none"/>
        </w:rPr>
      </w:pPr>
    </w:p>
    <w:p>
      <w:pPr>
        <w:spacing w:line="440" w:lineRule="exact"/>
        <w:rPr>
          <w:rFonts w:ascii="宋体" w:hAnsi="宋体"/>
          <w:color w:val="auto"/>
          <w:highlight w:val="none"/>
        </w:rPr>
      </w:pPr>
      <w:r>
        <w:rPr>
          <w:rFonts w:hint="eastAsia" w:ascii="宋体" w:hAnsi="宋体"/>
          <w:color w:val="auto"/>
          <w:highlight w:val="none"/>
        </w:rPr>
        <w:t>甲方</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 xml:space="preserve">（盖单位章）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乙方</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（盖单位章）</w:t>
      </w:r>
    </w:p>
    <w:p>
      <w:pPr>
        <w:spacing w:line="440" w:lineRule="exact"/>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pPr>
        <w:spacing w:line="440" w:lineRule="exact"/>
        <w:rPr>
          <w:rFonts w:ascii="宋体" w:hAnsi="宋体"/>
          <w:color w:val="auto"/>
          <w:highlight w:val="none"/>
          <w:u w:val="single"/>
        </w:rPr>
      </w:pPr>
    </w:p>
    <w:p>
      <w:pPr>
        <w:spacing w:line="440" w:lineRule="exac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日</w:t>
      </w:r>
    </w:p>
    <w:p>
      <w:pPr>
        <w:snapToGrid w:val="0"/>
        <w:spacing w:line="360" w:lineRule="exact"/>
        <w:rPr>
          <w:rFonts w:ascii="宋体" w:hAnsi="宋体"/>
          <w:color w:val="auto"/>
          <w:highlight w:val="none"/>
        </w:rPr>
      </w:pPr>
    </w:p>
    <w:p>
      <w:pPr>
        <w:snapToGrid w:val="0"/>
        <w:spacing w:line="360" w:lineRule="exact"/>
        <w:rPr>
          <w:rFonts w:ascii="宋体" w:hAnsi="宋体"/>
          <w:color w:val="auto"/>
          <w:highlight w:val="none"/>
          <w:u w:val="single"/>
        </w:rPr>
      </w:pPr>
      <w:r>
        <w:rPr>
          <w:rFonts w:hint="eastAsia" w:ascii="宋体" w:hAnsi="宋体"/>
          <w:color w:val="auto"/>
          <w:highlight w:val="none"/>
        </w:rPr>
        <w:t>甲方</w:t>
      </w:r>
      <w:r>
        <w:rPr>
          <w:rFonts w:ascii="宋体" w:hAnsi="宋体"/>
          <w:color w:val="auto"/>
          <w:highlight w:val="none"/>
        </w:rPr>
        <w:t>监督单位：</w:t>
      </w:r>
      <w:r>
        <w:rPr>
          <w:rFonts w:hint="eastAsia" w:ascii="宋体" w:hAnsi="宋体"/>
          <w:color w:val="auto"/>
          <w:highlight w:val="none"/>
          <w:u w:val="single"/>
        </w:rPr>
        <w:t xml:space="preserve">     </w:t>
      </w:r>
      <w:r>
        <w:rPr>
          <w:rFonts w:ascii="宋体" w:hAnsi="宋体"/>
          <w:color w:val="auto"/>
          <w:highlight w:val="none"/>
          <w:u w:val="single"/>
        </w:rPr>
        <w:t>（盖单位章）</w:t>
      </w:r>
      <w:r>
        <w:rPr>
          <w:rFonts w:hint="eastAsia" w:ascii="宋体" w:hAnsi="宋体"/>
          <w:color w:val="auto"/>
          <w:highlight w:val="none"/>
          <w:u w:val="single"/>
        </w:rPr>
        <w:t xml:space="preserve">    </w:t>
      </w:r>
      <w:r>
        <w:rPr>
          <w:rFonts w:ascii="宋体" w:hAnsi="宋体"/>
          <w:color w:val="auto"/>
          <w:highlight w:val="none"/>
        </w:rPr>
        <w:t xml:space="preserve">      </w:t>
      </w:r>
      <w:r>
        <w:rPr>
          <w:rFonts w:hint="eastAsia" w:ascii="宋体" w:hAnsi="宋体"/>
          <w:color w:val="auto"/>
          <w:highlight w:val="none"/>
        </w:rPr>
        <w:t>乙方</w:t>
      </w:r>
      <w:r>
        <w:rPr>
          <w:rFonts w:ascii="宋体" w:hAnsi="宋体"/>
          <w:color w:val="auto"/>
          <w:highlight w:val="none"/>
        </w:rPr>
        <w:t>监督单位：</w:t>
      </w:r>
      <w:r>
        <w:rPr>
          <w:rFonts w:hint="eastAsia" w:ascii="宋体" w:hAnsi="宋体"/>
          <w:color w:val="auto"/>
          <w:highlight w:val="none"/>
          <w:u w:val="single"/>
        </w:rPr>
        <w:t xml:space="preserve">      </w:t>
      </w:r>
      <w:r>
        <w:rPr>
          <w:rFonts w:ascii="宋体" w:hAnsi="宋体"/>
          <w:color w:val="auto"/>
          <w:highlight w:val="none"/>
          <w:u w:val="single"/>
        </w:rPr>
        <w:t>（盖单位章）</w:t>
      </w:r>
      <w:r>
        <w:rPr>
          <w:rFonts w:hint="eastAsia" w:ascii="宋体" w:hAnsi="宋体"/>
          <w:color w:val="auto"/>
          <w:highlight w:val="none"/>
          <w:u w:val="single"/>
        </w:rPr>
        <w:t xml:space="preserve">    </w:t>
      </w:r>
    </w:p>
    <w:p>
      <w:pPr>
        <w:snapToGrid w:val="0"/>
        <w:spacing w:line="360" w:lineRule="exact"/>
        <w:rPr>
          <w:rFonts w:ascii="宋体" w:hAnsi="宋体"/>
          <w:color w:val="auto"/>
          <w:highlight w:val="none"/>
          <w:u w:val="single"/>
        </w:rPr>
      </w:pPr>
    </w:p>
    <w:p>
      <w:pPr>
        <w:rPr>
          <w:b/>
          <w:bCs/>
          <w:color w:val="auto"/>
          <w:sz w:val="24"/>
          <w:szCs w:val="24"/>
          <w:highlight w:val="none"/>
        </w:rPr>
      </w:pPr>
      <w:r>
        <w:rPr>
          <w:b/>
          <w:bCs/>
          <w:color w:val="auto"/>
          <w:sz w:val="24"/>
          <w:szCs w:val="24"/>
          <w:highlight w:val="none"/>
        </w:rPr>
        <w:br w:type="page"/>
      </w:r>
    </w:p>
    <w:p>
      <w:pPr>
        <w:spacing w:line="440" w:lineRule="exact"/>
        <w:jc w:val="center"/>
        <w:rPr>
          <w:rFonts w:ascii="黑体" w:eastAsia="黑体"/>
          <w:color w:val="auto"/>
          <w:sz w:val="28"/>
          <w:szCs w:val="28"/>
          <w:highlight w:val="none"/>
        </w:rPr>
      </w:pPr>
      <w:r>
        <w:rPr>
          <w:rFonts w:hint="eastAsia" w:ascii="黑体" w:eastAsia="黑体"/>
          <w:color w:val="auto"/>
          <w:sz w:val="28"/>
          <w:szCs w:val="28"/>
          <w:highlight w:val="none"/>
          <w:lang w:val="en-US" w:eastAsia="zh-CN"/>
        </w:rPr>
        <w:t>合同附件二</w:t>
      </w:r>
      <w:r>
        <w:rPr>
          <w:rFonts w:hint="eastAsia" w:ascii="黑体" w:eastAsia="黑体"/>
          <w:color w:val="auto"/>
          <w:sz w:val="28"/>
          <w:szCs w:val="28"/>
          <w:highlight w:val="none"/>
        </w:rPr>
        <w:t>安全生产合同</w:t>
      </w:r>
    </w:p>
    <w:p>
      <w:pPr>
        <w:rPr>
          <w:bCs/>
          <w:color w:val="auto"/>
          <w:highlight w:val="none"/>
        </w:rPr>
      </w:pPr>
    </w:p>
    <w:p>
      <w:pPr>
        <w:spacing w:line="440" w:lineRule="exact"/>
        <w:ind w:firstLine="420" w:firstLineChars="200"/>
        <w:rPr>
          <w:bCs/>
          <w:color w:val="auto"/>
          <w:highlight w:val="none"/>
        </w:rPr>
      </w:pPr>
      <w:r>
        <w:rPr>
          <w:rFonts w:hint="eastAsia"/>
          <w:bCs/>
          <w:color w:val="auto"/>
          <w:highlight w:val="none"/>
        </w:rPr>
        <w:t xml:space="preserve">为在     </w:t>
      </w:r>
      <w:r>
        <w:rPr>
          <w:rFonts w:hint="eastAsia"/>
          <w:bCs/>
          <w:color w:val="auto"/>
          <w:highlight w:val="none"/>
          <w:u w:val="single"/>
        </w:rPr>
        <w:t>（</w:t>
      </w:r>
      <w:r>
        <w:rPr>
          <w:rFonts w:hint="eastAsia"/>
          <w:bCs/>
          <w:color w:val="auto"/>
          <w:highlight w:val="none"/>
        </w:rPr>
        <w:t xml:space="preserve">项目名称）      </w:t>
      </w:r>
      <w:r>
        <w:rPr>
          <w:rFonts w:hint="eastAsia" w:ascii="宋体" w:hAnsi="宋体"/>
          <w:color w:val="auto"/>
          <w:highlight w:val="none"/>
        </w:rPr>
        <w:t>标段施工</w:t>
      </w:r>
      <w:r>
        <w:rPr>
          <w:rFonts w:hint="eastAsia"/>
          <w:bCs/>
          <w:color w:val="auto"/>
          <w:highlight w:val="none"/>
        </w:rPr>
        <w:t>合同的实施过程中创造安全、高效的施工环境，切实搞好本项目的安全管理工作，本项目发包人（发包人名称，以下简称“发包人”）与承包人（承包人名称，以下简称“承包人”）特此签订安全生产合同：</w:t>
      </w:r>
    </w:p>
    <w:p>
      <w:pPr>
        <w:spacing w:line="440" w:lineRule="exact"/>
        <w:ind w:firstLine="420" w:firstLineChars="200"/>
        <w:rPr>
          <w:bCs/>
          <w:color w:val="auto"/>
          <w:highlight w:val="none"/>
        </w:rPr>
      </w:pPr>
      <w:r>
        <w:rPr>
          <w:rFonts w:hint="eastAsia"/>
          <w:bCs/>
          <w:color w:val="auto"/>
          <w:highlight w:val="none"/>
        </w:rPr>
        <w:t>1.发包人职责</w:t>
      </w:r>
    </w:p>
    <w:p>
      <w:pPr>
        <w:spacing w:line="440" w:lineRule="exact"/>
        <w:ind w:firstLine="420" w:firstLineChars="200"/>
        <w:rPr>
          <w:bCs/>
          <w:color w:val="auto"/>
          <w:highlight w:val="none"/>
        </w:rPr>
      </w:pPr>
      <w:r>
        <w:rPr>
          <w:rFonts w:hint="eastAsia"/>
          <w:bCs/>
          <w:color w:val="auto"/>
          <w:highlight w:val="none"/>
        </w:rPr>
        <w:t>（1）严格遵守国家有关安全生产的法律法规，认真执行工程承包合同中的有关安全要求。</w:t>
      </w:r>
    </w:p>
    <w:p>
      <w:pPr>
        <w:spacing w:line="440" w:lineRule="exact"/>
        <w:ind w:firstLine="420" w:firstLineChars="200"/>
        <w:rPr>
          <w:bCs/>
          <w:color w:val="auto"/>
          <w:highlight w:val="none"/>
        </w:rPr>
      </w:pPr>
      <w:r>
        <w:rPr>
          <w:rFonts w:hint="eastAsia"/>
          <w:bCs/>
          <w:color w:val="auto"/>
          <w:highlight w:val="none"/>
        </w:rPr>
        <w:t>（2）按照“安全第一、预防为主”和坚持“管生产必须管安全”的原则进行安全生产管理，做到生产与安全工作同时计划、布置、检查、总结和评比。</w:t>
      </w:r>
    </w:p>
    <w:p>
      <w:pPr>
        <w:spacing w:line="440" w:lineRule="exact"/>
        <w:ind w:left="359" w:leftChars="171" w:firstLine="105" w:firstLineChars="50"/>
        <w:rPr>
          <w:bCs/>
          <w:color w:val="auto"/>
          <w:highlight w:val="none"/>
        </w:rPr>
      </w:pPr>
      <w:r>
        <w:rPr>
          <w:rFonts w:hint="eastAsia"/>
          <w:bCs/>
          <w:color w:val="auto"/>
          <w:highlight w:val="none"/>
        </w:rPr>
        <w:t>（3）重要的安全设施必须坚持与主体工程“三同时”的原则，即：同时设计、审批，同时施工，同时验收，投入使用。</w:t>
      </w:r>
    </w:p>
    <w:p>
      <w:pPr>
        <w:spacing w:line="440" w:lineRule="exact"/>
        <w:ind w:firstLine="420" w:firstLineChars="200"/>
        <w:rPr>
          <w:bCs/>
          <w:color w:val="auto"/>
          <w:highlight w:val="none"/>
        </w:rPr>
      </w:pPr>
      <w:r>
        <w:rPr>
          <w:rFonts w:hint="eastAsia"/>
          <w:bCs/>
          <w:color w:val="auto"/>
          <w:highlight w:val="none"/>
        </w:rPr>
        <w:t>（4）定期召开安全生产调度会，及时传达中央及地方有关安全生产的精神。</w:t>
      </w:r>
    </w:p>
    <w:p>
      <w:pPr>
        <w:spacing w:line="440" w:lineRule="exact"/>
        <w:ind w:firstLine="420" w:firstLineChars="200"/>
        <w:rPr>
          <w:bCs/>
          <w:color w:val="auto"/>
          <w:highlight w:val="none"/>
        </w:rPr>
      </w:pPr>
      <w:r>
        <w:rPr>
          <w:rFonts w:hint="eastAsia"/>
          <w:bCs/>
          <w:color w:val="auto"/>
          <w:highlight w:val="none"/>
        </w:rPr>
        <w:t>（5）组织对承包人施工现场进行安全生产检查，监督承包人及时处理发现的各种安全隐患。</w:t>
      </w:r>
    </w:p>
    <w:p>
      <w:pPr>
        <w:spacing w:line="440" w:lineRule="exact"/>
        <w:ind w:firstLine="420" w:firstLineChars="200"/>
        <w:rPr>
          <w:bCs/>
          <w:color w:val="auto"/>
          <w:highlight w:val="none"/>
        </w:rPr>
      </w:pPr>
      <w:r>
        <w:rPr>
          <w:rFonts w:hint="eastAsia"/>
          <w:bCs/>
          <w:color w:val="auto"/>
          <w:highlight w:val="none"/>
        </w:rPr>
        <w:t>2.承包人职责</w:t>
      </w:r>
    </w:p>
    <w:p>
      <w:pPr>
        <w:spacing w:line="440" w:lineRule="exact"/>
        <w:ind w:firstLine="420" w:firstLineChars="200"/>
        <w:rPr>
          <w:bCs/>
          <w:color w:val="auto"/>
          <w:highlight w:val="none"/>
        </w:rPr>
      </w:pPr>
      <w:r>
        <w:rPr>
          <w:rFonts w:hint="eastAsia"/>
          <w:bCs/>
          <w:color w:val="auto"/>
          <w:highlight w:val="none"/>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pPr>
        <w:spacing w:line="440" w:lineRule="exact"/>
        <w:ind w:firstLine="420" w:firstLineChars="200"/>
        <w:rPr>
          <w:bCs/>
          <w:color w:val="auto"/>
          <w:highlight w:val="none"/>
        </w:rPr>
      </w:pPr>
      <w:r>
        <w:rPr>
          <w:rFonts w:hint="eastAsia"/>
          <w:bCs/>
          <w:color w:val="auto"/>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440" w:lineRule="exact"/>
        <w:ind w:firstLine="525" w:firstLineChars="250"/>
        <w:rPr>
          <w:bCs/>
          <w:color w:val="auto"/>
          <w:highlight w:val="none"/>
        </w:rPr>
      </w:pPr>
      <w:r>
        <w:rPr>
          <w:rFonts w:hint="eastAsia"/>
          <w:bCs/>
          <w:color w:val="auto"/>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440" w:lineRule="exact"/>
        <w:ind w:firstLine="315" w:firstLineChars="150"/>
        <w:rPr>
          <w:bCs/>
          <w:color w:val="auto"/>
          <w:highlight w:val="none"/>
        </w:rPr>
      </w:pPr>
      <w:r>
        <w:rPr>
          <w:rFonts w:hint="eastAsia"/>
          <w:bCs/>
          <w:color w:val="auto"/>
          <w:highlight w:val="none"/>
        </w:rPr>
        <w:t>（4）承包人在任何时候都应采取各种合理的预防措施，防止其员工发生任何违法、违禁、暴力或妨碍治安的行为。</w:t>
      </w:r>
    </w:p>
    <w:p>
      <w:pPr>
        <w:spacing w:line="440" w:lineRule="exact"/>
        <w:ind w:firstLine="315" w:firstLineChars="150"/>
        <w:rPr>
          <w:bCs/>
          <w:color w:val="auto"/>
          <w:highlight w:val="none"/>
        </w:rPr>
      </w:pPr>
      <w:r>
        <w:rPr>
          <w:rFonts w:hint="eastAsia"/>
          <w:bCs/>
          <w:color w:val="auto"/>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440" w:lineRule="exact"/>
        <w:ind w:firstLine="315" w:firstLineChars="150"/>
        <w:rPr>
          <w:bCs/>
          <w:color w:val="auto"/>
          <w:highlight w:val="none"/>
        </w:rPr>
      </w:pPr>
      <w:r>
        <w:rPr>
          <w:rFonts w:hint="eastAsia"/>
          <w:bCs/>
          <w:color w:val="auto"/>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440" w:lineRule="exact"/>
        <w:ind w:firstLine="315" w:firstLineChars="150"/>
        <w:rPr>
          <w:bCs/>
          <w:color w:val="auto"/>
          <w:highlight w:val="none"/>
        </w:rPr>
      </w:pPr>
      <w:r>
        <w:rPr>
          <w:rFonts w:hint="eastAsia"/>
          <w:bCs/>
          <w:color w:val="auto"/>
          <w:highlight w:val="none"/>
        </w:rPr>
        <w:t>（7）操作人员上岗，必须按规定穿戴防护用品。施工负责人和安全检查员应随时检查劳动防护用品的穿戴情况，不按规定穿戴防护用品的人员不得上岗。</w:t>
      </w:r>
    </w:p>
    <w:p>
      <w:pPr>
        <w:spacing w:line="440" w:lineRule="exact"/>
        <w:ind w:firstLine="315" w:firstLineChars="150"/>
        <w:rPr>
          <w:bCs/>
          <w:color w:val="auto"/>
          <w:highlight w:val="none"/>
        </w:rPr>
      </w:pPr>
      <w:r>
        <w:rPr>
          <w:rFonts w:hint="eastAsia"/>
          <w:bCs/>
          <w:color w:val="auto"/>
          <w:highlight w:val="none"/>
        </w:rPr>
        <w:t>（8）所有施工机具设备和高空作业的设备均应定期检查，并有安全员的签字记录，保证其经常处于完好状态；不合格的机具、设备和劳动保护用品严禁使用。</w:t>
      </w:r>
    </w:p>
    <w:p>
      <w:pPr>
        <w:spacing w:line="440" w:lineRule="exact"/>
        <w:ind w:firstLine="315" w:firstLineChars="150"/>
        <w:rPr>
          <w:bCs/>
          <w:color w:val="auto"/>
          <w:highlight w:val="none"/>
        </w:rPr>
      </w:pPr>
      <w:r>
        <w:rPr>
          <w:rFonts w:hint="eastAsia"/>
          <w:bCs/>
          <w:color w:val="auto"/>
          <w:highlight w:val="none"/>
        </w:rPr>
        <w:t>（9）施工中采用新技术、新工艺、新设备、新材料时，必须制定相应的安全技术措施，施工现场必须具有相关的安全标志牌。</w:t>
      </w:r>
    </w:p>
    <w:p>
      <w:pPr>
        <w:spacing w:line="440" w:lineRule="exact"/>
        <w:ind w:firstLine="315" w:firstLineChars="150"/>
        <w:rPr>
          <w:bCs/>
          <w:color w:val="auto"/>
          <w:highlight w:val="none"/>
        </w:rPr>
      </w:pPr>
      <w:r>
        <w:rPr>
          <w:rFonts w:hint="eastAsia"/>
          <w:bCs/>
          <w:color w:val="auto"/>
          <w:highlight w:val="none"/>
        </w:rPr>
        <w:t>（10）承包人必须按照本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440" w:lineRule="exact"/>
        <w:ind w:firstLine="315" w:firstLineChars="150"/>
        <w:rPr>
          <w:bCs/>
          <w:color w:val="auto"/>
          <w:highlight w:val="none"/>
        </w:rPr>
      </w:pPr>
      <w:r>
        <w:rPr>
          <w:rFonts w:hint="eastAsia"/>
          <w:bCs/>
          <w:color w:val="auto"/>
          <w:highlight w:val="none"/>
        </w:rPr>
        <w:t>（11）安全生产费用按照《公路水运工程安全生产监督管理办法》的相关规定使用和管理。</w:t>
      </w:r>
    </w:p>
    <w:p>
      <w:pPr>
        <w:spacing w:line="440" w:lineRule="exact"/>
        <w:ind w:firstLine="525" w:firstLineChars="250"/>
        <w:rPr>
          <w:bCs/>
          <w:color w:val="auto"/>
          <w:highlight w:val="none"/>
        </w:rPr>
      </w:pPr>
      <w:r>
        <w:rPr>
          <w:rFonts w:hint="eastAsia"/>
          <w:bCs/>
          <w:color w:val="auto"/>
          <w:highlight w:val="none"/>
        </w:rPr>
        <w:t>3.违约责任</w:t>
      </w:r>
    </w:p>
    <w:p>
      <w:pPr>
        <w:spacing w:line="440" w:lineRule="exact"/>
        <w:ind w:firstLine="525" w:firstLineChars="250"/>
        <w:rPr>
          <w:bCs/>
          <w:color w:val="auto"/>
          <w:highlight w:val="none"/>
        </w:rPr>
      </w:pPr>
      <w:r>
        <w:rPr>
          <w:rFonts w:hint="eastAsia"/>
          <w:bCs/>
          <w:color w:val="auto"/>
          <w:highlight w:val="none"/>
        </w:rPr>
        <w:t>如因发包人或承包人违约造成安全事故，将依法追究责任。</w:t>
      </w:r>
    </w:p>
    <w:p>
      <w:pPr>
        <w:spacing w:line="440" w:lineRule="exact"/>
        <w:ind w:firstLine="525" w:firstLineChars="250"/>
        <w:rPr>
          <w:bCs/>
          <w:color w:val="auto"/>
          <w:highlight w:val="none"/>
        </w:rPr>
      </w:pPr>
      <w:r>
        <w:rPr>
          <w:rFonts w:hint="eastAsia"/>
          <w:bCs/>
          <w:color w:val="auto"/>
          <w:highlight w:val="none"/>
        </w:rPr>
        <w:t>4.本合同由双方法定代表人或其授权的代理人签署并加盖单位章后生效，全部工程竣工验收后失效。</w:t>
      </w:r>
    </w:p>
    <w:p>
      <w:pPr>
        <w:spacing w:line="440" w:lineRule="exact"/>
        <w:ind w:firstLine="525" w:firstLineChars="250"/>
        <w:rPr>
          <w:bCs/>
          <w:color w:val="auto"/>
          <w:highlight w:val="none"/>
        </w:rPr>
      </w:pPr>
      <w:r>
        <w:rPr>
          <w:rFonts w:hint="eastAsia"/>
          <w:bCs/>
          <w:color w:val="auto"/>
          <w:highlight w:val="none"/>
        </w:rPr>
        <w:t>5.本合同正本二份、副本份，合同双方各执正本一份，副本份，当正本与副本的内容不一致时，以正本为准。</w:t>
      </w:r>
    </w:p>
    <w:p>
      <w:pPr>
        <w:spacing w:line="440" w:lineRule="exact"/>
        <w:ind w:firstLine="525" w:firstLineChars="250"/>
        <w:rPr>
          <w:bCs/>
          <w:color w:val="auto"/>
          <w:highlight w:val="none"/>
        </w:rPr>
      </w:pPr>
    </w:p>
    <w:p>
      <w:pPr>
        <w:spacing w:line="440" w:lineRule="exact"/>
        <w:jc w:val="left"/>
        <w:rPr>
          <w:bCs/>
          <w:color w:val="auto"/>
          <w:highlight w:val="none"/>
        </w:rPr>
      </w:pPr>
      <w:r>
        <w:rPr>
          <w:rFonts w:hint="eastAsia"/>
          <w:bCs/>
          <w:color w:val="auto"/>
          <w:highlight w:val="none"/>
        </w:rPr>
        <w:t>发包人：（盖章单位）                          承包人：（盖章单位）</w:t>
      </w:r>
    </w:p>
    <w:p>
      <w:pPr>
        <w:spacing w:line="440" w:lineRule="exact"/>
        <w:jc w:val="left"/>
        <w:rPr>
          <w:bCs/>
          <w:color w:val="auto"/>
          <w:highlight w:val="none"/>
        </w:rPr>
      </w:pPr>
      <w:r>
        <w:rPr>
          <w:rFonts w:hint="eastAsia"/>
          <w:bCs/>
          <w:color w:val="auto"/>
          <w:highlight w:val="none"/>
        </w:rPr>
        <w:t>法定代表人或其委托代理人：（签字）            法定代表人或其委托代理人：</w:t>
      </w:r>
      <w:r>
        <w:rPr>
          <w:rFonts w:hint="eastAsia"/>
          <w:bCs/>
          <w:color w:val="auto"/>
          <w:highlight w:val="none"/>
          <w:u w:val="single"/>
        </w:rPr>
        <w:t>（</w:t>
      </w:r>
      <w:r>
        <w:rPr>
          <w:rFonts w:hint="eastAsia"/>
          <w:bCs/>
          <w:color w:val="auto"/>
          <w:highlight w:val="none"/>
        </w:rPr>
        <w:t>签字）</w:t>
      </w:r>
    </w:p>
    <w:p>
      <w:pPr>
        <w:spacing w:line="440" w:lineRule="exact"/>
        <w:ind w:left="627"/>
        <w:jc w:val="left"/>
        <w:rPr>
          <w:bCs/>
          <w:color w:val="auto"/>
          <w:highlight w:val="none"/>
        </w:rPr>
      </w:pPr>
    </w:p>
    <w:p>
      <w:pPr>
        <w:spacing w:line="440" w:lineRule="exact"/>
        <w:ind w:left="628" w:leftChars="299" w:firstLine="210" w:firstLineChars="100"/>
        <w:jc w:val="left"/>
        <w:rPr>
          <w:color w:val="auto"/>
          <w:highlight w:val="none"/>
        </w:rPr>
      </w:pPr>
      <w:r>
        <w:rPr>
          <w:rFonts w:hint="eastAsia"/>
          <w:color w:val="auto"/>
          <w:highlight w:val="none"/>
        </w:rPr>
        <w:t>年     月       日                                年     月      日</w:t>
      </w:r>
    </w:p>
    <w:p>
      <w:pPr>
        <w:rPr>
          <w:color w:val="auto"/>
          <w:sz w:val="28"/>
          <w:szCs w:val="2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rPr>
          <w:color w:val="auto"/>
          <w:sz w:val="48"/>
          <w:szCs w:val="48"/>
          <w:highlight w:val="none"/>
        </w:rPr>
      </w:pPr>
    </w:p>
    <w:p>
      <w:pPr>
        <w:pStyle w:val="4"/>
        <w:spacing w:before="0" w:after="0" w:line="240" w:lineRule="auto"/>
        <w:jc w:val="center"/>
        <w:rPr>
          <w:rFonts w:hint="eastAsia" w:cs="黑体"/>
          <w:b w:val="0"/>
          <w:bCs w:val="0"/>
          <w:color w:val="auto"/>
          <w:sz w:val="52"/>
          <w:szCs w:val="52"/>
          <w:highlight w:val="none"/>
        </w:rPr>
      </w:pPr>
      <w:bookmarkStart w:id="95" w:name="_Toc19380"/>
      <w:bookmarkStart w:id="96" w:name="_Toc557"/>
      <w:r>
        <w:rPr>
          <w:rFonts w:hint="eastAsia" w:cs="黑体"/>
          <w:b w:val="0"/>
          <w:bCs w:val="0"/>
          <w:color w:val="auto"/>
          <w:sz w:val="52"/>
          <w:szCs w:val="52"/>
          <w:highlight w:val="none"/>
        </w:rPr>
        <w:t>第五章工程量清单</w:t>
      </w:r>
      <w:bookmarkEnd w:id="95"/>
      <w:bookmarkEnd w:id="96"/>
    </w:p>
    <w:p>
      <w:pPr>
        <w:adjustRightInd w:val="0"/>
        <w:snapToGrid w:val="0"/>
        <w:spacing w:line="300" w:lineRule="auto"/>
        <w:jc w:val="center"/>
        <w:rPr>
          <w:rFonts w:hint="eastAsia" w:cs="宋体"/>
          <w:b/>
          <w:bCs/>
          <w:color w:val="auto"/>
          <w:highlight w:val="none"/>
        </w:rPr>
      </w:pPr>
    </w:p>
    <w:p>
      <w:pPr>
        <w:adjustRightInd w:val="0"/>
        <w:snapToGrid w:val="0"/>
        <w:spacing w:line="300" w:lineRule="auto"/>
        <w:jc w:val="center"/>
        <w:rPr>
          <w:rFonts w:cs="宋体"/>
          <w:b/>
          <w:bCs/>
          <w:color w:val="auto"/>
          <w:highlight w:val="none"/>
        </w:rPr>
      </w:pPr>
      <w:r>
        <w:rPr>
          <w:rFonts w:hint="eastAsia" w:cs="宋体"/>
          <w:b/>
          <w:bCs/>
          <w:color w:val="auto"/>
          <w:highlight w:val="none"/>
        </w:rPr>
        <w:t>无。</w:t>
      </w:r>
    </w:p>
    <w:p>
      <w:pPr>
        <w:pStyle w:val="50"/>
        <w:jc w:val="center"/>
        <w:rPr>
          <w:rFonts w:hint="default"/>
          <w:color w:val="auto"/>
          <w:highlight w:val="none"/>
          <w:lang w:val="en-US" w:eastAsia="zh-CN"/>
        </w:rPr>
      </w:pPr>
    </w:p>
    <w:p>
      <w:pPr>
        <w:rPr>
          <w:b/>
          <w:bCs/>
          <w:color w:val="auto"/>
          <w:sz w:val="48"/>
          <w:szCs w:val="48"/>
          <w:highlight w:val="none"/>
        </w:rPr>
      </w:pPr>
      <w:r>
        <w:rPr>
          <w:color w:val="auto"/>
          <w:highlight w:val="none"/>
        </w:rPr>
        <w:br w:type="page"/>
      </w:r>
    </w:p>
    <w:p>
      <w:pPr>
        <w:rPr>
          <w:b/>
          <w:bCs/>
          <w:color w:val="auto"/>
          <w:sz w:val="48"/>
          <w:szCs w:val="48"/>
          <w:highlight w:val="none"/>
        </w:rPr>
      </w:pPr>
    </w:p>
    <w:p>
      <w:pPr>
        <w:rPr>
          <w:b/>
          <w:bCs/>
          <w:color w:val="auto"/>
          <w:sz w:val="48"/>
          <w:szCs w:val="48"/>
          <w:highlight w:val="none"/>
        </w:rPr>
      </w:pPr>
    </w:p>
    <w:p>
      <w:pPr>
        <w:rPr>
          <w:b/>
          <w:bCs/>
          <w:color w:val="auto"/>
          <w:sz w:val="48"/>
          <w:szCs w:val="48"/>
          <w:highlight w:val="none"/>
        </w:rPr>
      </w:pPr>
    </w:p>
    <w:p>
      <w:pPr>
        <w:rPr>
          <w:b/>
          <w:bCs/>
          <w:color w:val="auto"/>
          <w:sz w:val="48"/>
          <w:szCs w:val="48"/>
          <w:highlight w:val="none"/>
        </w:rPr>
      </w:pPr>
    </w:p>
    <w:p>
      <w:pPr>
        <w:rPr>
          <w:b/>
          <w:bCs/>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pStyle w:val="4"/>
        <w:spacing w:before="0" w:after="0" w:line="240" w:lineRule="auto"/>
        <w:jc w:val="center"/>
        <w:rPr>
          <w:b w:val="0"/>
          <w:bCs w:val="0"/>
          <w:color w:val="auto"/>
          <w:sz w:val="52"/>
          <w:szCs w:val="52"/>
          <w:highlight w:val="none"/>
        </w:rPr>
      </w:pPr>
      <w:bookmarkStart w:id="97" w:name="_Toc13162"/>
      <w:bookmarkStart w:id="98" w:name="_Toc13876"/>
      <w:r>
        <w:rPr>
          <w:rFonts w:hint="eastAsia" w:cs="黑体"/>
          <w:b w:val="0"/>
          <w:bCs w:val="0"/>
          <w:color w:val="auto"/>
          <w:sz w:val="52"/>
          <w:szCs w:val="52"/>
          <w:highlight w:val="none"/>
        </w:rPr>
        <w:t>第六章技术规范</w:t>
      </w:r>
      <w:bookmarkEnd w:id="97"/>
      <w:bookmarkEnd w:id="98"/>
    </w:p>
    <w:p>
      <w:pPr>
        <w:rPr>
          <w:color w:val="auto"/>
          <w:sz w:val="48"/>
          <w:szCs w:val="48"/>
          <w:highlight w:val="none"/>
        </w:rPr>
      </w:pPr>
    </w:p>
    <w:p>
      <w:pPr>
        <w:rPr>
          <w:color w:val="auto"/>
          <w:sz w:val="48"/>
          <w:szCs w:val="48"/>
          <w:highlight w:val="none"/>
        </w:rPr>
      </w:pPr>
    </w:p>
    <w:p>
      <w:pPr>
        <w:adjustRightInd w:val="0"/>
        <w:snapToGrid w:val="0"/>
        <w:spacing w:line="300" w:lineRule="auto"/>
        <w:jc w:val="center"/>
        <w:rPr>
          <w:rFonts w:cs="宋体"/>
          <w:b/>
          <w:bCs/>
          <w:color w:val="auto"/>
          <w:highlight w:val="none"/>
        </w:rPr>
      </w:pPr>
      <w:r>
        <w:rPr>
          <w:rFonts w:hint="eastAsia" w:cs="宋体"/>
          <w:b/>
          <w:bCs/>
          <w:color w:val="auto"/>
          <w:highlight w:val="none"/>
        </w:rPr>
        <w:t>无。</w:t>
      </w:r>
    </w:p>
    <w:p>
      <w:pPr>
        <w:ind w:right="18"/>
        <w:jc w:val="center"/>
        <w:rPr>
          <w:color w:val="auto"/>
          <w:highlight w:val="none"/>
        </w:rPr>
      </w:pPr>
      <w:r>
        <w:rPr>
          <w:color w:val="auto"/>
          <w:highlight w:val="none"/>
        </w:rPr>
        <w:br w:type="page"/>
      </w:r>
    </w:p>
    <w:p>
      <w:pPr>
        <w:pStyle w:val="4"/>
        <w:spacing w:before="0" w:after="0" w:line="240" w:lineRule="auto"/>
        <w:jc w:val="center"/>
        <w:rPr>
          <w:rFonts w:hint="eastAsia" w:cs="黑体"/>
          <w:b w:val="0"/>
          <w:bCs w:val="0"/>
          <w:color w:val="auto"/>
          <w:sz w:val="52"/>
          <w:szCs w:val="52"/>
          <w:highlight w:val="none"/>
        </w:rPr>
      </w:pPr>
      <w:bookmarkStart w:id="99" w:name="_Toc10493"/>
      <w:bookmarkStart w:id="100" w:name="_Toc12797"/>
      <w:bookmarkStart w:id="101" w:name="_Toc508614287"/>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rFonts w:hint="eastAsia" w:cs="黑体"/>
          <w:b w:val="0"/>
          <w:bCs w:val="0"/>
          <w:color w:val="auto"/>
          <w:sz w:val="52"/>
          <w:szCs w:val="52"/>
          <w:highlight w:val="none"/>
        </w:rPr>
      </w:pPr>
    </w:p>
    <w:p>
      <w:pPr>
        <w:pStyle w:val="4"/>
        <w:spacing w:before="0" w:after="0" w:line="240" w:lineRule="auto"/>
        <w:jc w:val="center"/>
        <w:rPr>
          <w:b w:val="0"/>
          <w:bCs w:val="0"/>
          <w:color w:val="auto"/>
          <w:sz w:val="52"/>
          <w:szCs w:val="52"/>
          <w:highlight w:val="none"/>
        </w:rPr>
      </w:pPr>
      <w:r>
        <w:rPr>
          <w:rFonts w:hint="eastAsia" w:cs="黑体"/>
          <w:b w:val="0"/>
          <w:bCs w:val="0"/>
          <w:color w:val="auto"/>
          <w:sz w:val="52"/>
          <w:szCs w:val="52"/>
          <w:highlight w:val="none"/>
        </w:rPr>
        <w:t>第七章工程量清单计量规则</w:t>
      </w:r>
      <w:bookmarkEnd w:id="99"/>
      <w:bookmarkEnd w:id="100"/>
      <w:bookmarkEnd w:id="101"/>
    </w:p>
    <w:p>
      <w:pPr>
        <w:rPr>
          <w:color w:val="auto"/>
          <w:sz w:val="48"/>
          <w:szCs w:val="48"/>
          <w:highlight w:val="none"/>
        </w:rPr>
      </w:pPr>
    </w:p>
    <w:p>
      <w:pPr>
        <w:adjustRightInd w:val="0"/>
        <w:snapToGrid w:val="0"/>
        <w:spacing w:line="300" w:lineRule="auto"/>
        <w:jc w:val="center"/>
        <w:rPr>
          <w:rFonts w:cs="宋体"/>
          <w:b/>
          <w:bCs/>
          <w:color w:val="auto"/>
          <w:highlight w:val="none"/>
        </w:rPr>
      </w:pPr>
      <w:r>
        <w:rPr>
          <w:rFonts w:hint="eastAsia" w:cs="宋体"/>
          <w:b/>
          <w:bCs/>
          <w:color w:val="auto"/>
          <w:highlight w:val="none"/>
        </w:rPr>
        <w:t>无。</w:t>
      </w:r>
    </w:p>
    <w:p>
      <w:pPr>
        <w:adjustRightInd w:val="0"/>
        <w:snapToGrid w:val="0"/>
        <w:spacing w:line="300" w:lineRule="auto"/>
        <w:ind w:firstLine="422" w:firstLineChars="200"/>
        <w:rPr>
          <w:rFonts w:cs="宋体"/>
          <w:b/>
          <w:bCs/>
          <w:color w:val="auto"/>
          <w:highlight w:val="none"/>
          <w:u w:val="single"/>
        </w:rPr>
        <w:sectPr>
          <w:headerReference r:id="rId3" w:type="default"/>
          <w:footerReference r:id="rId4" w:type="default"/>
          <w:pgSz w:w="11907" w:h="16840"/>
          <w:pgMar w:top="1139" w:right="1302" w:bottom="1423" w:left="1470" w:header="720" w:footer="720" w:gutter="0"/>
          <w:pgNumType w:fmt="decimal"/>
          <w:cols w:space="720" w:num="1"/>
          <w:docGrid w:linePitch="285" w:charSpace="0"/>
        </w:sect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rPr>
          <w:color w:val="auto"/>
          <w:sz w:val="48"/>
          <w:szCs w:val="48"/>
          <w:highlight w:val="none"/>
        </w:rPr>
      </w:pPr>
    </w:p>
    <w:p>
      <w:pPr>
        <w:pStyle w:val="4"/>
        <w:spacing w:before="0" w:after="0" w:line="240" w:lineRule="auto"/>
        <w:jc w:val="center"/>
        <w:rPr>
          <w:b w:val="0"/>
          <w:bCs w:val="0"/>
          <w:color w:val="auto"/>
          <w:sz w:val="52"/>
          <w:szCs w:val="52"/>
          <w:highlight w:val="none"/>
        </w:rPr>
      </w:pPr>
      <w:bookmarkStart w:id="102" w:name="_Toc19750"/>
      <w:bookmarkStart w:id="103" w:name="_Toc30445"/>
      <w:r>
        <w:rPr>
          <w:rFonts w:hint="eastAsia" w:cs="黑体"/>
          <w:b w:val="0"/>
          <w:bCs w:val="0"/>
          <w:color w:val="auto"/>
          <w:sz w:val="52"/>
          <w:szCs w:val="52"/>
          <w:highlight w:val="none"/>
        </w:rPr>
        <w:t>第八章投标文件格式</w:t>
      </w:r>
      <w:bookmarkEnd w:id="102"/>
      <w:bookmarkEnd w:id="103"/>
    </w:p>
    <w:p>
      <w:pPr>
        <w:rPr>
          <w:color w:val="auto"/>
          <w:sz w:val="48"/>
          <w:szCs w:val="48"/>
          <w:highlight w:val="none"/>
        </w:rPr>
      </w:pPr>
    </w:p>
    <w:p>
      <w:pPr>
        <w:pStyle w:val="4"/>
        <w:spacing w:before="120" w:after="120" w:line="400" w:lineRule="exact"/>
        <w:jc w:val="center"/>
        <w:rPr>
          <w:color w:val="auto"/>
          <w:highlight w:val="none"/>
        </w:rPr>
      </w:pPr>
    </w:p>
    <w:p>
      <w:pPr>
        <w:jc w:val="center"/>
        <w:rPr>
          <w:color w:val="auto"/>
          <w:sz w:val="48"/>
          <w:szCs w:val="48"/>
          <w:highlight w:val="none"/>
        </w:rPr>
      </w:pPr>
      <w:r>
        <w:rPr>
          <w:color w:val="auto"/>
          <w:highlight w:val="none"/>
        </w:rPr>
        <w:br w:type="page"/>
      </w:r>
    </w:p>
    <w:p>
      <w:pPr>
        <w:outlineLvl w:val="0"/>
        <w:rPr>
          <w:b/>
          <w:bCs/>
          <w:color w:val="auto"/>
          <w:sz w:val="32"/>
          <w:szCs w:val="32"/>
          <w:highlight w:val="none"/>
        </w:rPr>
      </w:pPr>
      <w:bookmarkStart w:id="104" w:name="_Toc22051"/>
      <w:bookmarkStart w:id="105" w:name="_Toc8699"/>
      <w:r>
        <w:rPr>
          <w:rFonts w:hint="eastAsia" w:cs="宋体"/>
          <w:b/>
          <w:bCs/>
          <w:color w:val="auto"/>
          <w:sz w:val="32"/>
          <w:szCs w:val="32"/>
          <w:highlight w:val="none"/>
        </w:rPr>
        <w:t>第一个信封封面格式</w:t>
      </w:r>
      <w:bookmarkEnd w:id="104"/>
      <w:bookmarkEnd w:id="105"/>
    </w:p>
    <w:p>
      <w:pPr>
        <w:rPr>
          <w:b/>
          <w:bCs/>
          <w:color w:val="auto"/>
          <w:sz w:val="32"/>
          <w:szCs w:val="32"/>
          <w:highlight w:val="none"/>
        </w:rPr>
      </w:pPr>
    </w:p>
    <w:p>
      <w:pPr>
        <w:jc w:val="center"/>
        <w:rPr>
          <w:b/>
          <w:bCs/>
          <w:color w:val="auto"/>
          <w:sz w:val="48"/>
          <w:szCs w:val="48"/>
          <w:highlight w:val="none"/>
        </w:rPr>
      </w:pPr>
      <w:r>
        <w:rPr>
          <w:rFonts w:hint="eastAsia"/>
          <w:b/>
          <w:bCs/>
          <w:color w:val="auto"/>
          <w:sz w:val="48"/>
          <w:szCs w:val="48"/>
          <w:highlight w:val="none"/>
        </w:rPr>
        <w:t>东灶港站物流配套项目甲供土方运输项目</w:t>
      </w:r>
    </w:p>
    <w:p>
      <w:pPr>
        <w:jc w:val="center"/>
        <w:rPr>
          <w:b/>
          <w:bCs/>
          <w:color w:val="auto"/>
          <w:sz w:val="48"/>
          <w:szCs w:val="48"/>
          <w:highlight w:val="none"/>
        </w:rPr>
      </w:pPr>
      <w:r>
        <w:rPr>
          <w:rFonts w:hint="eastAsia"/>
          <w:b/>
          <w:bCs/>
          <w:color w:val="auto"/>
          <w:sz w:val="36"/>
          <w:szCs w:val="36"/>
          <w:highlight w:val="none"/>
        </w:rPr>
        <w:t>2021TFYS</w:t>
      </w:r>
      <w:r>
        <w:rPr>
          <w:rFonts w:hint="eastAsia" w:cs="宋体"/>
          <w:b/>
          <w:bCs/>
          <w:snapToGrid w:val="0"/>
          <w:color w:val="auto"/>
          <w:kern w:val="0"/>
          <w:sz w:val="44"/>
          <w:szCs w:val="44"/>
          <w:highlight w:val="none"/>
        </w:rPr>
        <w:t>标段</w:t>
      </w:r>
    </w:p>
    <w:p>
      <w:pPr>
        <w:jc w:val="center"/>
        <w:rPr>
          <w:color w:val="auto"/>
          <w:spacing w:val="50"/>
          <w:sz w:val="48"/>
          <w:szCs w:val="48"/>
          <w:highlight w:val="none"/>
        </w:rPr>
      </w:pPr>
    </w:p>
    <w:p>
      <w:pPr>
        <w:jc w:val="center"/>
        <w:rPr>
          <w:color w:val="auto"/>
          <w:spacing w:val="50"/>
          <w:sz w:val="48"/>
          <w:szCs w:val="48"/>
          <w:highlight w:val="none"/>
        </w:rPr>
      </w:pPr>
    </w:p>
    <w:p>
      <w:pPr>
        <w:jc w:val="center"/>
        <w:rPr>
          <w:color w:val="auto"/>
          <w:spacing w:val="50"/>
          <w:sz w:val="48"/>
          <w:szCs w:val="48"/>
          <w:highlight w:val="none"/>
        </w:rPr>
      </w:pPr>
    </w:p>
    <w:p>
      <w:pPr>
        <w:jc w:val="center"/>
        <w:rPr>
          <w:color w:val="auto"/>
          <w:spacing w:val="100"/>
          <w:sz w:val="48"/>
          <w:szCs w:val="48"/>
          <w:highlight w:val="none"/>
        </w:rPr>
      </w:pPr>
    </w:p>
    <w:p>
      <w:pPr>
        <w:jc w:val="center"/>
        <w:rPr>
          <w:color w:val="auto"/>
          <w:spacing w:val="100"/>
          <w:sz w:val="48"/>
          <w:szCs w:val="48"/>
          <w:highlight w:val="none"/>
        </w:rPr>
      </w:pPr>
    </w:p>
    <w:p>
      <w:pPr>
        <w:jc w:val="center"/>
        <w:rPr>
          <w:color w:val="auto"/>
          <w:spacing w:val="60"/>
          <w:sz w:val="84"/>
          <w:szCs w:val="84"/>
          <w:highlight w:val="none"/>
        </w:rPr>
      </w:pPr>
      <w:r>
        <w:rPr>
          <w:rFonts w:hint="eastAsia" w:cs="黑体"/>
          <w:color w:val="auto"/>
          <w:spacing w:val="60"/>
          <w:sz w:val="84"/>
          <w:szCs w:val="84"/>
          <w:highlight w:val="none"/>
        </w:rPr>
        <w:t>投标文件</w:t>
      </w:r>
    </w:p>
    <w:p>
      <w:pPr>
        <w:jc w:val="center"/>
        <w:rPr>
          <w:color w:val="auto"/>
          <w:spacing w:val="60"/>
          <w:sz w:val="44"/>
          <w:szCs w:val="44"/>
          <w:highlight w:val="none"/>
        </w:rPr>
      </w:pPr>
      <w:bookmarkStart w:id="106" w:name="_Toc428810609"/>
      <w:r>
        <w:rPr>
          <w:rFonts w:hint="eastAsia" w:cs="黑体"/>
          <w:snapToGrid w:val="0"/>
          <w:color w:val="auto"/>
          <w:kern w:val="0"/>
          <w:sz w:val="44"/>
          <w:szCs w:val="44"/>
          <w:highlight w:val="none"/>
        </w:rPr>
        <w:t>（第一个信封商务及技术文件</w:t>
      </w:r>
      <w:bookmarkEnd w:id="106"/>
      <w:r>
        <w:rPr>
          <w:rFonts w:hint="eastAsia" w:cs="黑体"/>
          <w:snapToGrid w:val="0"/>
          <w:color w:val="auto"/>
          <w:kern w:val="0"/>
          <w:sz w:val="44"/>
          <w:szCs w:val="44"/>
          <w:highlight w:val="none"/>
        </w:rPr>
        <w:t>）</w:t>
      </w:r>
    </w:p>
    <w:p>
      <w:pPr>
        <w:jc w:val="center"/>
        <w:rPr>
          <w:b/>
          <w:bCs/>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36"/>
          <w:szCs w:val="36"/>
          <w:highlight w:val="none"/>
          <w:u w:val="single"/>
        </w:rPr>
      </w:pPr>
      <w:r>
        <w:rPr>
          <w:rFonts w:hint="eastAsia" w:cs="宋体"/>
          <w:color w:val="auto"/>
          <w:sz w:val="36"/>
          <w:szCs w:val="36"/>
          <w:highlight w:val="none"/>
        </w:rPr>
        <w:t>投标人：</w:t>
      </w:r>
      <w:r>
        <w:rPr>
          <w:rFonts w:cs="宋体"/>
          <w:color w:val="auto"/>
          <w:sz w:val="36"/>
          <w:szCs w:val="36"/>
          <w:highlight w:val="none"/>
          <w:u w:val="single"/>
        </w:rPr>
        <w:t>(</w:t>
      </w:r>
      <w:r>
        <w:rPr>
          <w:rFonts w:hint="eastAsia" w:cs="宋体"/>
          <w:color w:val="auto"/>
          <w:sz w:val="36"/>
          <w:szCs w:val="36"/>
          <w:highlight w:val="none"/>
          <w:u w:val="single"/>
        </w:rPr>
        <w:t>盖单位章</w:t>
      </w:r>
      <w:r>
        <w:rPr>
          <w:rFonts w:cs="宋体"/>
          <w:color w:val="auto"/>
          <w:sz w:val="36"/>
          <w:szCs w:val="36"/>
          <w:highlight w:val="none"/>
          <w:u w:val="single"/>
        </w:rPr>
        <w:t xml:space="preserve">)      </w:t>
      </w:r>
    </w:p>
    <w:p>
      <w:pPr>
        <w:jc w:val="center"/>
        <w:rPr>
          <w:color w:val="auto"/>
          <w:sz w:val="36"/>
          <w:szCs w:val="36"/>
          <w:highlight w:val="none"/>
        </w:rPr>
      </w:pPr>
      <w:r>
        <w:rPr>
          <w:rFonts w:hint="eastAsia" w:cs="宋体"/>
          <w:color w:val="auto"/>
          <w:sz w:val="36"/>
          <w:szCs w:val="36"/>
          <w:highlight w:val="none"/>
        </w:rPr>
        <w:t>年月日</w:t>
      </w:r>
    </w:p>
    <w:p>
      <w:pPr>
        <w:spacing w:line="400" w:lineRule="exact"/>
        <w:rPr>
          <w:color w:val="auto"/>
          <w:highlight w:val="none"/>
        </w:rPr>
        <w:sectPr>
          <w:headerReference r:id="rId5" w:type="default"/>
          <w:footerReference r:id="rId6" w:type="default"/>
          <w:pgSz w:w="11906" w:h="16838"/>
          <w:pgMar w:top="1389" w:right="1474" w:bottom="1389" w:left="1644" w:header="851" w:footer="992" w:gutter="0"/>
          <w:pgNumType w:fmt="decimal"/>
          <w:cols w:space="720" w:num="1"/>
          <w:docGrid w:linePitch="312" w:charSpace="0"/>
        </w:sectPr>
      </w:pPr>
    </w:p>
    <w:p>
      <w:pPr>
        <w:spacing w:before="120" w:beforeLines="50" w:after="120" w:afterLines="50"/>
        <w:jc w:val="center"/>
        <w:rPr>
          <w:color w:val="auto"/>
          <w:sz w:val="44"/>
          <w:szCs w:val="44"/>
          <w:highlight w:val="none"/>
        </w:rPr>
      </w:pPr>
      <w:r>
        <w:rPr>
          <w:rFonts w:hint="eastAsia" w:cs="黑体"/>
          <w:color w:val="auto"/>
          <w:sz w:val="44"/>
          <w:szCs w:val="44"/>
          <w:highlight w:val="none"/>
        </w:rPr>
        <w:t>目录</w:t>
      </w:r>
    </w:p>
    <w:p>
      <w:pPr>
        <w:spacing w:before="120" w:beforeLines="50" w:after="120" w:afterLines="50"/>
        <w:rPr>
          <w:b/>
          <w:bCs/>
          <w:color w:val="auto"/>
          <w:sz w:val="28"/>
          <w:szCs w:val="28"/>
          <w:highlight w:val="none"/>
        </w:rPr>
      </w:pPr>
    </w:p>
    <w:p>
      <w:pPr>
        <w:spacing w:before="120" w:beforeLines="50" w:after="120" w:afterLines="50"/>
        <w:rPr>
          <w:rFonts w:cs="宋体"/>
          <w:color w:val="auto"/>
          <w:sz w:val="28"/>
          <w:szCs w:val="28"/>
          <w:highlight w:val="none"/>
        </w:rPr>
      </w:pPr>
      <w:r>
        <w:rPr>
          <w:rFonts w:hint="eastAsia" w:cs="宋体"/>
          <w:color w:val="auto"/>
          <w:sz w:val="28"/>
          <w:szCs w:val="28"/>
          <w:highlight w:val="none"/>
        </w:rPr>
        <w:t>一、投标函</w:t>
      </w:r>
    </w:p>
    <w:p>
      <w:pPr>
        <w:spacing w:before="120" w:beforeLines="50" w:after="120" w:afterLines="50"/>
        <w:rPr>
          <w:rFonts w:cs="宋体"/>
          <w:color w:val="auto"/>
          <w:sz w:val="28"/>
          <w:szCs w:val="28"/>
          <w:highlight w:val="none"/>
        </w:rPr>
      </w:pPr>
      <w:r>
        <w:rPr>
          <w:rFonts w:hint="eastAsia" w:cs="宋体"/>
          <w:color w:val="auto"/>
          <w:sz w:val="28"/>
          <w:szCs w:val="28"/>
          <w:highlight w:val="none"/>
        </w:rPr>
        <w:t>二、授权委托书或法定代表人身份证明</w:t>
      </w:r>
    </w:p>
    <w:p>
      <w:pPr>
        <w:spacing w:before="120" w:beforeLines="50" w:after="120" w:afterLines="50"/>
        <w:rPr>
          <w:rFonts w:cs="宋体"/>
          <w:color w:val="auto"/>
          <w:sz w:val="28"/>
          <w:szCs w:val="28"/>
          <w:highlight w:val="none"/>
        </w:rPr>
      </w:pPr>
      <w:r>
        <w:rPr>
          <w:rFonts w:hint="eastAsia" w:cs="宋体"/>
          <w:color w:val="auto"/>
          <w:sz w:val="28"/>
          <w:szCs w:val="28"/>
          <w:highlight w:val="none"/>
        </w:rPr>
        <w:t>三、投标保证金</w:t>
      </w:r>
    </w:p>
    <w:p>
      <w:pPr>
        <w:spacing w:before="120" w:beforeLines="50" w:after="120" w:afterLines="50"/>
        <w:rPr>
          <w:rFonts w:hAnsi="宋体" w:cs="宋体"/>
          <w:color w:val="auto"/>
          <w:sz w:val="28"/>
          <w:szCs w:val="28"/>
          <w:highlight w:val="none"/>
        </w:rPr>
      </w:pPr>
      <w:r>
        <w:rPr>
          <w:rFonts w:hint="eastAsia" w:hAnsi="宋体" w:cs="宋体"/>
          <w:color w:val="auto"/>
          <w:sz w:val="28"/>
          <w:szCs w:val="28"/>
          <w:highlight w:val="none"/>
        </w:rPr>
        <w:t>四、施工组织设计</w:t>
      </w:r>
    </w:p>
    <w:p>
      <w:pPr>
        <w:spacing w:before="120" w:beforeLines="50" w:after="120" w:afterLines="50"/>
        <w:rPr>
          <w:rFonts w:cs="宋体"/>
          <w:color w:val="auto"/>
          <w:sz w:val="28"/>
          <w:szCs w:val="28"/>
          <w:highlight w:val="none"/>
        </w:rPr>
      </w:pPr>
      <w:r>
        <w:rPr>
          <w:rFonts w:hint="eastAsia" w:cs="宋体"/>
          <w:color w:val="auto"/>
          <w:sz w:val="28"/>
          <w:szCs w:val="28"/>
          <w:highlight w:val="none"/>
        </w:rPr>
        <w:t>四、项目管理机构</w:t>
      </w:r>
    </w:p>
    <w:p>
      <w:pPr>
        <w:spacing w:before="120" w:beforeLines="50" w:after="120" w:afterLines="50"/>
        <w:rPr>
          <w:rFonts w:cs="宋体"/>
          <w:color w:val="auto"/>
          <w:sz w:val="28"/>
          <w:szCs w:val="28"/>
          <w:highlight w:val="none"/>
        </w:rPr>
      </w:pPr>
      <w:r>
        <w:rPr>
          <w:rFonts w:hint="eastAsia" w:cs="宋体"/>
          <w:color w:val="auto"/>
          <w:sz w:val="28"/>
          <w:szCs w:val="28"/>
          <w:highlight w:val="none"/>
        </w:rPr>
        <w:t>五、拟分包项目情况表</w:t>
      </w:r>
    </w:p>
    <w:p>
      <w:pPr>
        <w:spacing w:before="120" w:beforeLines="50" w:after="120" w:afterLines="50"/>
        <w:rPr>
          <w:rFonts w:cs="宋体"/>
          <w:color w:val="auto"/>
          <w:sz w:val="28"/>
          <w:szCs w:val="28"/>
          <w:highlight w:val="none"/>
        </w:rPr>
      </w:pPr>
      <w:r>
        <w:rPr>
          <w:rFonts w:hint="eastAsia" w:cs="宋体"/>
          <w:color w:val="auto"/>
          <w:sz w:val="28"/>
          <w:szCs w:val="28"/>
          <w:highlight w:val="none"/>
        </w:rPr>
        <w:t>六、资格审查资料及打分点所涉资料</w:t>
      </w:r>
    </w:p>
    <w:p>
      <w:pPr>
        <w:spacing w:before="120" w:beforeLines="50" w:after="120" w:afterLines="50"/>
        <w:rPr>
          <w:color w:val="auto"/>
          <w:sz w:val="28"/>
          <w:szCs w:val="28"/>
          <w:highlight w:val="none"/>
        </w:rPr>
      </w:pPr>
      <w:r>
        <w:rPr>
          <w:rFonts w:hint="eastAsia"/>
          <w:color w:val="auto"/>
          <w:sz w:val="28"/>
          <w:szCs w:val="28"/>
          <w:highlight w:val="none"/>
        </w:rPr>
        <w:t>七、不拖欠民工工资的承诺书</w:t>
      </w:r>
    </w:p>
    <w:p>
      <w:pPr>
        <w:spacing w:before="120" w:beforeLines="50" w:after="120" w:afterLines="50"/>
        <w:rPr>
          <w:color w:val="auto"/>
          <w:sz w:val="28"/>
          <w:szCs w:val="28"/>
          <w:highlight w:val="none"/>
        </w:rPr>
      </w:pPr>
      <w:r>
        <w:rPr>
          <w:rFonts w:hint="eastAsia"/>
          <w:color w:val="auto"/>
          <w:sz w:val="28"/>
          <w:szCs w:val="28"/>
          <w:highlight w:val="none"/>
        </w:rPr>
        <w:t>八、</w:t>
      </w:r>
      <w:r>
        <w:rPr>
          <w:color w:val="auto"/>
          <w:sz w:val="28"/>
          <w:szCs w:val="28"/>
          <w:highlight w:val="none"/>
        </w:rPr>
        <w:t>同意代偿债务承诺函</w:t>
      </w:r>
    </w:p>
    <w:p>
      <w:pPr>
        <w:spacing w:before="120" w:beforeLines="50" w:after="120" w:afterLines="50"/>
        <w:rPr>
          <w:color w:val="auto"/>
          <w:sz w:val="28"/>
          <w:szCs w:val="28"/>
          <w:highlight w:val="none"/>
        </w:rPr>
      </w:pPr>
      <w:r>
        <w:rPr>
          <w:rFonts w:hint="eastAsia"/>
          <w:color w:val="auto"/>
          <w:sz w:val="28"/>
          <w:szCs w:val="28"/>
          <w:highlight w:val="none"/>
        </w:rPr>
        <w:t>九、确保工程质量不非法分包不违法转包承诺书</w:t>
      </w:r>
    </w:p>
    <w:p>
      <w:pPr>
        <w:spacing w:before="120" w:beforeLines="50" w:after="120" w:afterLines="50"/>
        <w:rPr>
          <w:color w:val="auto"/>
          <w:sz w:val="28"/>
          <w:szCs w:val="28"/>
          <w:highlight w:val="none"/>
        </w:rPr>
      </w:pPr>
      <w:r>
        <w:rPr>
          <w:rFonts w:hint="eastAsia"/>
          <w:color w:val="auto"/>
          <w:sz w:val="28"/>
          <w:szCs w:val="28"/>
          <w:highlight w:val="none"/>
        </w:rPr>
        <w:t>十、拟投入项目经理任职承诺函</w:t>
      </w:r>
    </w:p>
    <w:p>
      <w:pPr>
        <w:spacing w:before="120" w:beforeLines="50" w:after="120" w:afterLines="50"/>
        <w:rPr>
          <w:color w:val="auto"/>
          <w:sz w:val="28"/>
          <w:szCs w:val="28"/>
          <w:highlight w:val="none"/>
        </w:rPr>
      </w:pPr>
      <w:r>
        <w:rPr>
          <w:rFonts w:hint="eastAsia"/>
          <w:color w:val="auto"/>
          <w:sz w:val="28"/>
          <w:szCs w:val="28"/>
          <w:highlight w:val="none"/>
        </w:rPr>
        <w:t>十一、资料真实性承诺书</w:t>
      </w:r>
    </w:p>
    <w:p>
      <w:pPr>
        <w:spacing w:before="120" w:beforeLines="50" w:after="120" w:afterLines="50"/>
        <w:rPr>
          <w:rFonts w:hAnsi="宋体" w:cs="宋体"/>
          <w:color w:val="auto"/>
          <w:sz w:val="28"/>
          <w:szCs w:val="28"/>
          <w:highlight w:val="none"/>
        </w:rPr>
      </w:pPr>
      <w:r>
        <w:rPr>
          <w:rFonts w:hint="eastAsia"/>
          <w:color w:val="auto"/>
          <w:sz w:val="28"/>
          <w:szCs w:val="28"/>
          <w:highlight w:val="none"/>
        </w:rPr>
        <w:t>十二、</w:t>
      </w:r>
      <w:r>
        <w:rPr>
          <w:rFonts w:hint="eastAsia" w:hAnsi="宋体" w:cs="宋体"/>
          <w:color w:val="auto"/>
          <w:sz w:val="28"/>
          <w:szCs w:val="28"/>
          <w:highlight w:val="none"/>
        </w:rPr>
        <w:t>江苏省公路水运建设项目投标人信用承诺书</w:t>
      </w:r>
    </w:p>
    <w:p>
      <w:pPr>
        <w:spacing w:before="120" w:beforeLines="50" w:after="120" w:afterLines="50"/>
        <w:rPr>
          <w:color w:val="auto"/>
          <w:sz w:val="28"/>
          <w:szCs w:val="28"/>
          <w:highlight w:val="none"/>
        </w:rPr>
      </w:pPr>
      <w:r>
        <w:rPr>
          <w:rFonts w:hint="eastAsia" w:hAnsi="宋体" w:cs="宋体"/>
          <w:color w:val="auto"/>
          <w:sz w:val="28"/>
          <w:szCs w:val="28"/>
          <w:highlight w:val="none"/>
        </w:rPr>
        <w:t>十三、江苏公路水运建设市场主要从业人员信用承诺书</w:t>
      </w:r>
    </w:p>
    <w:p>
      <w:pPr>
        <w:spacing w:before="120" w:beforeLines="50" w:after="120" w:afterLines="50"/>
        <w:rPr>
          <w:color w:val="auto"/>
          <w:sz w:val="28"/>
          <w:szCs w:val="28"/>
          <w:highlight w:val="none"/>
        </w:rPr>
      </w:pPr>
      <w:r>
        <w:rPr>
          <w:rFonts w:hint="eastAsia"/>
          <w:color w:val="auto"/>
          <w:sz w:val="28"/>
          <w:szCs w:val="28"/>
          <w:highlight w:val="none"/>
        </w:rPr>
        <w:t>十四、其他材料（如有）</w:t>
      </w:r>
    </w:p>
    <w:p>
      <w:pPr>
        <w:spacing w:before="120" w:beforeLines="50" w:after="120" w:afterLines="50"/>
        <w:rPr>
          <w:rFonts w:cs="宋体"/>
          <w:color w:val="auto"/>
          <w:sz w:val="28"/>
          <w:szCs w:val="28"/>
          <w:highlight w:val="none"/>
        </w:rPr>
      </w:pPr>
    </w:p>
    <w:p>
      <w:pPr>
        <w:spacing w:before="120" w:beforeLines="50" w:after="120" w:afterLines="50"/>
        <w:rPr>
          <w:color w:val="auto"/>
          <w:sz w:val="28"/>
          <w:szCs w:val="28"/>
          <w:highlight w:val="none"/>
        </w:rPr>
      </w:pPr>
    </w:p>
    <w:p>
      <w:pPr>
        <w:spacing w:line="360" w:lineRule="auto"/>
        <w:rPr>
          <w:color w:val="auto"/>
          <w:sz w:val="24"/>
          <w:szCs w:val="24"/>
          <w:highlight w:val="none"/>
        </w:rPr>
        <w:sectPr>
          <w:pgSz w:w="11906" w:h="16838"/>
          <w:pgMar w:top="1389" w:right="1474" w:bottom="1389" w:left="1644" w:header="851" w:footer="992" w:gutter="0"/>
          <w:pgNumType w:fmt="decimal"/>
          <w:cols w:space="720" w:num="1"/>
          <w:docGrid w:linePitch="312" w:charSpace="0"/>
        </w:sectPr>
      </w:pPr>
    </w:p>
    <w:p>
      <w:pPr>
        <w:spacing w:before="120" w:beforeLines="50" w:after="120" w:afterLines="50"/>
        <w:jc w:val="center"/>
        <w:rPr>
          <w:color w:val="auto"/>
          <w:sz w:val="44"/>
          <w:szCs w:val="44"/>
          <w:highlight w:val="none"/>
        </w:rPr>
      </w:pPr>
      <w:r>
        <w:rPr>
          <w:rFonts w:hint="eastAsia" w:cs="黑体"/>
          <w:color w:val="auto"/>
          <w:sz w:val="44"/>
          <w:szCs w:val="44"/>
          <w:highlight w:val="none"/>
        </w:rPr>
        <w:t>一、投标函</w:t>
      </w:r>
    </w:p>
    <w:p>
      <w:pPr>
        <w:spacing w:line="360" w:lineRule="auto"/>
        <w:rPr>
          <w:color w:val="auto"/>
          <w:sz w:val="24"/>
          <w:szCs w:val="24"/>
          <w:highlight w:val="none"/>
        </w:rPr>
      </w:pPr>
      <w:r>
        <w:rPr>
          <w:rFonts w:hint="eastAsia" w:cs="宋体"/>
          <w:color w:val="auto"/>
          <w:sz w:val="24"/>
          <w:szCs w:val="24"/>
          <w:highlight w:val="none"/>
          <w:u w:val="single"/>
        </w:rPr>
        <w:t>南通洋吕铁路开发建设有限公司</w:t>
      </w:r>
      <w:r>
        <w:rPr>
          <w:rFonts w:hint="eastAsia" w:cs="宋体"/>
          <w:color w:val="auto"/>
          <w:sz w:val="24"/>
          <w:szCs w:val="24"/>
          <w:highlight w:val="none"/>
        </w:rPr>
        <w:t>：</w:t>
      </w:r>
    </w:p>
    <w:p>
      <w:pPr>
        <w:wordWrap w:val="0"/>
        <w:spacing w:line="360" w:lineRule="auto"/>
        <w:ind w:firstLine="480" w:firstLineChars="200"/>
        <w:rPr>
          <w:color w:val="auto"/>
          <w:sz w:val="24"/>
          <w:szCs w:val="24"/>
          <w:highlight w:val="none"/>
        </w:rPr>
      </w:pPr>
      <w:r>
        <w:rPr>
          <w:color w:val="auto"/>
          <w:sz w:val="24"/>
          <w:szCs w:val="24"/>
          <w:highlight w:val="none"/>
        </w:rPr>
        <w:t>1</w:t>
      </w:r>
      <w:r>
        <w:rPr>
          <w:rFonts w:hint="eastAsia" w:cs="宋体"/>
          <w:color w:val="auto"/>
          <w:sz w:val="24"/>
          <w:szCs w:val="24"/>
          <w:highlight w:val="none"/>
        </w:rPr>
        <w:t>、我方已仔细研究</w:t>
      </w:r>
      <w:r>
        <w:rPr>
          <w:rFonts w:hint="eastAsia"/>
          <w:color w:val="auto"/>
          <w:sz w:val="24"/>
          <w:szCs w:val="24"/>
          <w:highlight w:val="none"/>
        </w:rPr>
        <w:t>东灶港站物流配套项目甲供土方运输项目2021TFYS</w:t>
      </w:r>
      <w:r>
        <w:rPr>
          <w:rFonts w:hint="eastAsia" w:cs="宋体"/>
          <w:color w:val="auto"/>
          <w:sz w:val="24"/>
          <w:szCs w:val="24"/>
          <w:highlight w:val="none"/>
        </w:rPr>
        <w:t>标段招标文件的全部内容</w:t>
      </w:r>
      <w:r>
        <w:rPr>
          <w:color w:val="auto"/>
          <w:sz w:val="24"/>
          <w:szCs w:val="24"/>
          <w:highlight w:val="none"/>
        </w:rPr>
        <w:t>(</w:t>
      </w:r>
      <w:r>
        <w:rPr>
          <w:rFonts w:hint="eastAsia" w:cs="宋体"/>
          <w:color w:val="auto"/>
          <w:sz w:val="24"/>
          <w:szCs w:val="24"/>
          <w:highlight w:val="none"/>
        </w:rPr>
        <w:t>含补遗书第</w:t>
      </w:r>
      <w:r>
        <w:rPr>
          <w:color w:val="auto"/>
          <w:sz w:val="24"/>
          <w:szCs w:val="24"/>
          <w:highlight w:val="none"/>
        </w:rPr>
        <w:t>___</w:t>
      </w:r>
      <w:r>
        <w:rPr>
          <w:rFonts w:hint="eastAsia" w:cs="宋体"/>
          <w:color w:val="auto"/>
          <w:sz w:val="24"/>
          <w:szCs w:val="24"/>
          <w:highlight w:val="none"/>
        </w:rPr>
        <w:t>号至第</w:t>
      </w:r>
      <w:r>
        <w:rPr>
          <w:color w:val="auto"/>
          <w:sz w:val="24"/>
          <w:szCs w:val="24"/>
          <w:highlight w:val="none"/>
        </w:rPr>
        <w:t>___</w:t>
      </w:r>
      <w:r>
        <w:rPr>
          <w:rFonts w:hint="eastAsia" w:cs="宋体"/>
          <w:color w:val="auto"/>
          <w:sz w:val="24"/>
          <w:szCs w:val="24"/>
          <w:highlight w:val="none"/>
        </w:rPr>
        <w:t>号</w:t>
      </w:r>
      <w:r>
        <w:rPr>
          <w:color w:val="auto"/>
          <w:sz w:val="24"/>
          <w:szCs w:val="24"/>
          <w:highlight w:val="none"/>
        </w:rPr>
        <w:t>)</w:t>
      </w:r>
      <w:r>
        <w:rPr>
          <w:rFonts w:hint="eastAsia" w:cs="宋体"/>
          <w:color w:val="auto"/>
          <w:sz w:val="24"/>
          <w:szCs w:val="24"/>
          <w:highlight w:val="none"/>
        </w:rPr>
        <w:t>，在考察工程现场后，愿意以投标文件第二个信封（报价文件）中的投标总报价，按合同约定实施和完成承包工程，修补工程中的任何缺陷。</w:t>
      </w:r>
    </w:p>
    <w:p>
      <w:pPr>
        <w:spacing w:line="360" w:lineRule="auto"/>
        <w:ind w:firstLine="480" w:firstLineChars="200"/>
        <w:rPr>
          <w:color w:val="auto"/>
          <w:sz w:val="24"/>
          <w:szCs w:val="24"/>
          <w:highlight w:val="none"/>
        </w:rPr>
      </w:pPr>
      <w:r>
        <w:rPr>
          <w:color w:val="auto"/>
          <w:sz w:val="24"/>
          <w:szCs w:val="24"/>
          <w:highlight w:val="none"/>
        </w:rPr>
        <w:t>2</w:t>
      </w:r>
      <w:r>
        <w:rPr>
          <w:rFonts w:hint="eastAsia" w:cs="宋体"/>
          <w:color w:val="auto"/>
          <w:sz w:val="24"/>
          <w:szCs w:val="24"/>
          <w:highlight w:val="none"/>
        </w:rPr>
        <w:t>、我方承诺在投标有效期内不修改、撤销投标文件。</w:t>
      </w:r>
    </w:p>
    <w:p>
      <w:pPr>
        <w:spacing w:line="360" w:lineRule="auto"/>
        <w:ind w:firstLine="480" w:firstLineChars="200"/>
        <w:rPr>
          <w:color w:val="auto"/>
          <w:sz w:val="24"/>
          <w:szCs w:val="24"/>
          <w:highlight w:val="none"/>
        </w:rPr>
      </w:pPr>
      <w:r>
        <w:rPr>
          <w:color w:val="auto"/>
          <w:sz w:val="24"/>
          <w:szCs w:val="24"/>
          <w:highlight w:val="none"/>
        </w:rPr>
        <w:t>3</w:t>
      </w:r>
      <w:r>
        <w:rPr>
          <w:rFonts w:hint="eastAsia" w:cs="宋体"/>
          <w:color w:val="auto"/>
          <w:sz w:val="24"/>
          <w:szCs w:val="24"/>
          <w:highlight w:val="none"/>
        </w:rPr>
        <w:t xml:space="preserve">．工程质量： </w:t>
      </w:r>
      <w:r>
        <w:rPr>
          <w:rFonts w:cs="宋体"/>
          <w:color w:val="auto"/>
          <w:sz w:val="24"/>
          <w:szCs w:val="24"/>
          <w:highlight w:val="none"/>
        </w:rPr>
        <w:t xml:space="preserve">      </w:t>
      </w:r>
      <w:r>
        <w:rPr>
          <w:rFonts w:hint="eastAsia" w:cs="宋体"/>
          <w:color w:val="auto"/>
          <w:sz w:val="24"/>
          <w:szCs w:val="24"/>
          <w:highlight w:val="none"/>
        </w:rPr>
        <w:t>，工期</w:t>
      </w:r>
      <w:r>
        <w:rPr>
          <w:rFonts w:hint="eastAsia" w:cs="宋体"/>
          <w:color w:val="auto"/>
          <w:sz w:val="24"/>
          <w:szCs w:val="24"/>
          <w:highlight w:val="none"/>
          <w:u w:val="single"/>
        </w:rPr>
        <w:t xml:space="preserve">， </w:t>
      </w:r>
      <w:r>
        <w:rPr>
          <w:rFonts w:cs="宋体"/>
          <w:color w:val="auto"/>
          <w:sz w:val="24"/>
          <w:szCs w:val="24"/>
          <w:highlight w:val="none"/>
          <w:u w:val="single"/>
        </w:rPr>
        <w:t xml:space="preserve">    </w:t>
      </w:r>
      <w:r>
        <w:rPr>
          <w:rFonts w:hint="eastAsia" w:cs="宋体"/>
          <w:color w:val="auto"/>
          <w:sz w:val="24"/>
          <w:szCs w:val="24"/>
          <w:highlight w:val="none"/>
        </w:rPr>
        <w:t xml:space="preserve">安全目标： </w:t>
      </w:r>
      <w:r>
        <w:rPr>
          <w:rFonts w:cs="宋体"/>
          <w:color w:val="auto"/>
          <w:sz w:val="24"/>
          <w:szCs w:val="24"/>
          <w:highlight w:val="none"/>
        </w:rPr>
        <w:t xml:space="preserve">     </w:t>
      </w:r>
      <w:r>
        <w:rPr>
          <w:rFonts w:hint="eastAsia" w:cs="宋体"/>
          <w:color w:val="auto"/>
          <w:sz w:val="24"/>
          <w:szCs w:val="24"/>
          <w:highlight w:val="none"/>
        </w:rPr>
        <w:t>。</w:t>
      </w:r>
    </w:p>
    <w:p>
      <w:pPr>
        <w:spacing w:line="360" w:lineRule="auto"/>
        <w:ind w:firstLine="480" w:firstLineChars="200"/>
        <w:rPr>
          <w:color w:val="auto"/>
          <w:sz w:val="24"/>
          <w:szCs w:val="24"/>
          <w:highlight w:val="none"/>
        </w:rPr>
      </w:pPr>
      <w:r>
        <w:rPr>
          <w:color w:val="auto"/>
          <w:sz w:val="24"/>
          <w:szCs w:val="24"/>
          <w:highlight w:val="none"/>
        </w:rPr>
        <w:t>4</w:t>
      </w:r>
      <w:r>
        <w:rPr>
          <w:rFonts w:hint="eastAsia" w:cs="宋体"/>
          <w:color w:val="auto"/>
          <w:sz w:val="24"/>
          <w:szCs w:val="24"/>
          <w:highlight w:val="none"/>
        </w:rPr>
        <w:t>．如我方中标，我方承诺：</w:t>
      </w:r>
    </w:p>
    <w:p>
      <w:pPr>
        <w:spacing w:line="360" w:lineRule="auto"/>
        <w:ind w:firstLine="480" w:firstLineChars="200"/>
        <w:rPr>
          <w:color w:val="auto"/>
          <w:sz w:val="24"/>
          <w:szCs w:val="24"/>
          <w:highlight w:val="none"/>
        </w:rPr>
      </w:pPr>
      <w:r>
        <w:rPr>
          <w:rFonts w:hint="eastAsia" w:cs="宋体"/>
          <w:color w:val="auto"/>
          <w:sz w:val="24"/>
          <w:szCs w:val="24"/>
          <w:highlight w:val="none"/>
        </w:rPr>
        <w:t>（</w:t>
      </w:r>
      <w:r>
        <w:rPr>
          <w:color w:val="auto"/>
          <w:sz w:val="24"/>
          <w:szCs w:val="24"/>
          <w:highlight w:val="none"/>
        </w:rPr>
        <w:t>1</w:t>
      </w:r>
      <w:r>
        <w:rPr>
          <w:rFonts w:hint="eastAsia" w:cs="宋体"/>
          <w:color w:val="auto"/>
          <w:sz w:val="24"/>
          <w:szCs w:val="24"/>
          <w:highlight w:val="none"/>
        </w:rPr>
        <w:t>）在收到中标通知书后，在中标通知书规定的期限内与你方签订合同；</w:t>
      </w:r>
    </w:p>
    <w:p>
      <w:pPr>
        <w:spacing w:line="360" w:lineRule="auto"/>
        <w:ind w:firstLine="480" w:firstLineChars="200"/>
        <w:rPr>
          <w:color w:val="auto"/>
          <w:sz w:val="24"/>
          <w:szCs w:val="24"/>
          <w:highlight w:val="none"/>
        </w:rPr>
      </w:pPr>
      <w:r>
        <w:rPr>
          <w:rFonts w:hint="eastAsia" w:cs="宋体"/>
          <w:color w:val="auto"/>
          <w:sz w:val="24"/>
          <w:szCs w:val="24"/>
          <w:highlight w:val="none"/>
        </w:rPr>
        <w:t>（</w:t>
      </w:r>
      <w:r>
        <w:rPr>
          <w:color w:val="auto"/>
          <w:sz w:val="24"/>
          <w:szCs w:val="24"/>
          <w:highlight w:val="none"/>
        </w:rPr>
        <w:t>2</w:t>
      </w:r>
      <w:r>
        <w:rPr>
          <w:rFonts w:hint="eastAsia" w:cs="宋体"/>
          <w:color w:val="auto"/>
          <w:sz w:val="24"/>
          <w:szCs w:val="24"/>
          <w:highlight w:val="none"/>
        </w:rPr>
        <w:t>）在签订合同时不向你方提出附加条件；</w:t>
      </w:r>
    </w:p>
    <w:p>
      <w:pPr>
        <w:spacing w:line="360" w:lineRule="auto"/>
        <w:ind w:firstLine="480" w:firstLineChars="200"/>
        <w:rPr>
          <w:color w:val="auto"/>
          <w:sz w:val="24"/>
          <w:szCs w:val="24"/>
          <w:highlight w:val="none"/>
        </w:rPr>
      </w:pPr>
      <w:r>
        <w:rPr>
          <w:rFonts w:hint="eastAsia" w:cs="宋体"/>
          <w:color w:val="auto"/>
          <w:sz w:val="24"/>
          <w:szCs w:val="24"/>
          <w:highlight w:val="none"/>
        </w:rPr>
        <w:t>（</w:t>
      </w:r>
      <w:r>
        <w:rPr>
          <w:color w:val="auto"/>
          <w:sz w:val="24"/>
          <w:szCs w:val="24"/>
          <w:highlight w:val="none"/>
        </w:rPr>
        <w:t>3</w:t>
      </w:r>
      <w:r>
        <w:rPr>
          <w:rFonts w:hint="eastAsia" w:cs="宋体"/>
          <w:color w:val="auto"/>
          <w:sz w:val="24"/>
          <w:szCs w:val="24"/>
          <w:highlight w:val="none"/>
        </w:rPr>
        <w:t>）按照招标文件要求提交履约保证金；</w:t>
      </w:r>
    </w:p>
    <w:p>
      <w:pPr>
        <w:spacing w:line="360" w:lineRule="auto"/>
        <w:ind w:firstLine="480" w:firstLineChars="200"/>
        <w:rPr>
          <w:color w:val="auto"/>
          <w:sz w:val="24"/>
          <w:szCs w:val="24"/>
          <w:highlight w:val="none"/>
        </w:rPr>
      </w:pPr>
      <w:r>
        <w:rPr>
          <w:rFonts w:hint="eastAsia" w:cs="宋体"/>
          <w:color w:val="auto"/>
          <w:sz w:val="24"/>
          <w:szCs w:val="24"/>
          <w:highlight w:val="none"/>
        </w:rPr>
        <w:t>（</w:t>
      </w:r>
      <w:r>
        <w:rPr>
          <w:color w:val="auto"/>
          <w:sz w:val="24"/>
          <w:szCs w:val="24"/>
          <w:highlight w:val="none"/>
        </w:rPr>
        <w:t>4</w:t>
      </w:r>
      <w:r>
        <w:rPr>
          <w:rFonts w:hint="eastAsia" w:cs="宋体"/>
          <w:color w:val="auto"/>
          <w:sz w:val="24"/>
          <w:szCs w:val="24"/>
          <w:highlight w:val="none"/>
        </w:rPr>
        <w:t>）在合同约定的期限内完成合同规定的全部义务；</w:t>
      </w:r>
    </w:p>
    <w:p>
      <w:pPr>
        <w:spacing w:line="360" w:lineRule="auto"/>
        <w:ind w:firstLine="480" w:firstLineChars="200"/>
        <w:rPr>
          <w:color w:val="auto"/>
          <w:sz w:val="24"/>
          <w:szCs w:val="24"/>
          <w:highlight w:val="none"/>
        </w:rPr>
      </w:pPr>
      <w:r>
        <w:rPr>
          <w:rFonts w:hint="eastAsia" w:cs="宋体"/>
          <w:color w:val="auto"/>
          <w:sz w:val="24"/>
          <w:szCs w:val="24"/>
          <w:highlight w:val="none"/>
        </w:rPr>
        <w:t>（</w:t>
      </w:r>
      <w:r>
        <w:rPr>
          <w:color w:val="auto"/>
          <w:sz w:val="24"/>
          <w:szCs w:val="24"/>
          <w:highlight w:val="none"/>
        </w:rPr>
        <w:t>5</w:t>
      </w:r>
      <w:r>
        <w:rPr>
          <w:rFonts w:hint="eastAsia" w:cs="宋体"/>
          <w:color w:val="auto"/>
          <w:sz w:val="24"/>
          <w:szCs w:val="24"/>
          <w:highlight w:val="none"/>
        </w:rPr>
        <w:t>）在你方和我方进行合同谈判之前，我方将按照合同附件提出的最低要求填报派驻本标段的其他管理和技术人员及主要机械设备和试验检测设备，经你方审批后作为派驻本标段的项目管理机构主要人员和主要设备且不进行更换。如我方拟派驻的人员和设备不满足合同附件要求，你方有权取消我方中标资格。</w:t>
      </w:r>
    </w:p>
    <w:p>
      <w:pPr>
        <w:spacing w:line="360" w:lineRule="auto"/>
        <w:ind w:firstLine="480" w:firstLineChars="200"/>
        <w:rPr>
          <w:color w:val="auto"/>
          <w:sz w:val="24"/>
          <w:szCs w:val="24"/>
          <w:highlight w:val="none"/>
        </w:rPr>
      </w:pPr>
      <w:r>
        <w:rPr>
          <w:color w:val="auto"/>
          <w:sz w:val="24"/>
          <w:szCs w:val="24"/>
          <w:highlight w:val="none"/>
        </w:rPr>
        <w:t>5</w:t>
      </w:r>
      <w:r>
        <w:rPr>
          <w:rFonts w:hint="eastAsia" w:cs="宋体"/>
          <w:color w:val="auto"/>
          <w:sz w:val="24"/>
          <w:szCs w:val="24"/>
          <w:highlight w:val="none"/>
        </w:rPr>
        <w:t>．我方在此声明，所递交的投标文件及有关资料内容完整、真实和准确，且不存在招标文件第二章“投标人须知”第</w:t>
      </w:r>
      <w:r>
        <w:rPr>
          <w:color w:val="auto"/>
          <w:sz w:val="24"/>
          <w:szCs w:val="24"/>
          <w:highlight w:val="none"/>
        </w:rPr>
        <w:t xml:space="preserve"> 1.4.3 </w:t>
      </w:r>
      <w:r>
        <w:rPr>
          <w:rFonts w:hint="eastAsia" w:cs="宋体"/>
          <w:color w:val="auto"/>
          <w:sz w:val="24"/>
          <w:szCs w:val="24"/>
          <w:highlight w:val="none"/>
        </w:rPr>
        <w:t>项和第</w:t>
      </w:r>
      <w:r>
        <w:rPr>
          <w:color w:val="auto"/>
          <w:sz w:val="24"/>
          <w:szCs w:val="24"/>
          <w:highlight w:val="none"/>
        </w:rPr>
        <w:t xml:space="preserve"> 1.4.4 </w:t>
      </w:r>
      <w:r>
        <w:rPr>
          <w:rFonts w:hint="eastAsia" w:cs="宋体"/>
          <w:color w:val="auto"/>
          <w:sz w:val="24"/>
          <w:szCs w:val="24"/>
          <w:highlight w:val="none"/>
        </w:rPr>
        <w:t>项规定的任何一种情形。</w:t>
      </w:r>
    </w:p>
    <w:p>
      <w:pPr>
        <w:spacing w:line="360" w:lineRule="auto"/>
        <w:ind w:firstLine="480" w:firstLineChars="200"/>
        <w:rPr>
          <w:color w:val="auto"/>
          <w:sz w:val="24"/>
          <w:szCs w:val="24"/>
          <w:highlight w:val="none"/>
        </w:rPr>
      </w:pPr>
      <w:r>
        <w:rPr>
          <w:color w:val="auto"/>
          <w:sz w:val="24"/>
          <w:szCs w:val="24"/>
          <w:highlight w:val="none"/>
        </w:rPr>
        <w:t xml:space="preserve"> 6</w:t>
      </w:r>
      <w:r>
        <w:rPr>
          <w:rFonts w:hint="eastAsia" w:cs="宋体"/>
          <w:color w:val="auto"/>
          <w:sz w:val="24"/>
          <w:szCs w:val="24"/>
          <w:highlight w:val="none"/>
        </w:rPr>
        <w:t>．在合同协议书正式签署生效之前，本投标函连同你方的中标通知书将构成我们双方之间共同遵守的文件，对双方具有约束力。</w:t>
      </w:r>
    </w:p>
    <w:p>
      <w:pPr>
        <w:spacing w:line="360" w:lineRule="auto"/>
        <w:ind w:firstLine="480" w:firstLineChars="200"/>
        <w:rPr>
          <w:color w:val="auto"/>
          <w:sz w:val="24"/>
          <w:szCs w:val="24"/>
          <w:highlight w:val="none"/>
        </w:rPr>
      </w:pPr>
      <w:r>
        <w:rPr>
          <w:color w:val="auto"/>
          <w:sz w:val="24"/>
          <w:szCs w:val="24"/>
          <w:highlight w:val="none"/>
        </w:rPr>
        <w:t xml:space="preserve"> 7</w:t>
      </w:r>
      <w:r>
        <w:rPr>
          <w:rFonts w:hint="eastAsia" w:cs="宋体"/>
          <w:color w:val="auto"/>
          <w:sz w:val="24"/>
          <w:szCs w:val="24"/>
          <w:highlight w:val="none"/>
        </w:rPr>
        <w:t>．</w:t>
      </w:r>
      <w:r>
        <w:rPr>
          <w:rFonts w:hint="eastAsia" w:cs="宋体"/>
          <w:color w:val="auto"/>
          <w:sz w:val="24"/>
          <w:szCs w:val="24"/>
          <w:highlight w:val="none"/>
          <w:u w:val="single"/>
        </w:rPr>
        <w:t>（其他补充说明）。</w:t>
      </w:r>
    </w:p>
    <w:p>
      <w:pPr>
        <w:wordWrap w:val="0"/>
        <w:spacing w:line="360" w:lineRule="auto"/>
        <w:jc w:val="right"/>
        <w:rPr>
          <w:color w:val="auto"/>
          <w:sz w:val="24"/>
          <w:szCs w:val="24"/>
          <w:highlight w:val="none"/>
          <w:u w:val="single"/>
        </w:rPr>
      </w:pPr>
      <w:r>
        <w:rPr>
          <w:rFonts w:hint="eastAsia" w:cs="宋体"/>
          <w:color w:val="auto"/>
          <w:sz w:val="24"/>
          <w:szCs w:val="24"/>
          <w:highlight w:val="none"/>
        </w:rPr>
        <w:t>投标人：</w:t>
      </w:r>
      <w:r>
        <w:rPr>
          <w:rFonts w:cs="黑体"/>
          <w:color w:val="auto"/>
          <w:sz w:val="24"/>
          <w:szCs w:val="24"/>
          <w:highlight w:val="none"/>
          <w:u w:val="single"/>
        </w:rPr>
        <w:t>(</w:t>
      </w:r>
      <w:r>
        <w:rPr>
          <w:rFonts w:hint="eastAsia" w:cs="黑体"/>
          <w:color w:val="auto"/>
          <w:sz w:val="24"/>
          <w:szCs w:val="24"/>
          <w:highlight w:val="none"/>
          <w:u w:val="single"/>
        </w:rPr>
        <w:t>盖单位章</w:t>
      </w:r>
      <w:r>
        <w:rPr>
          <w:rFonts w:cs="黑体"/>
          <w:color w:val="auto"/>
          <w:sz w:val="24"/>
          <w:szCs w:val="24"/>
          <w:highlight w:val="none"/>
          <w:u w:val="single"/>
        </w:rPr>
        <w:t>)</w:t>
      </w:r>
    </w:p>
    <w:p>
      <w:pPr>
        <w:wordWrap w:val="0"/>
        <w:spacing w:line="360" w:lineRule="auto"/>
        <w:jc w:val="right"/>
        <w:rPr>
          <w:color w:val="auto"/>
          <w:sz w:val="24"/>
          <w:szCs w:val="24"/>
          <w:highlight w:val="none"/>
          <w:u w:val="single"/>
        </w:rPr>
      </w:pPr>
      <w:r>
        <w:rPr>
          <w:rFonts w:hint="eastAsia" w:cs="宋体"/>
          <w:color w:val="auto"/>
          <w:sz w:val="24"/>
          <w:szCs w:val="24"/>
          <w:highlight w:val="none"/>
        </w:rPr>
        <w:t>法定代表人或委托代理人：</w:t>
      </w:r>
      <w:r>
        <w:rPr>
          <w:rFonts w:cs="黑体"/>
          <w:color w:val="auto"/>
          <w:sz w:val="24"/>
          <w:szCs w:val="24"/>
          <w:highlight w:val="none"/>
          <w:u w:val="single"/>
        </w:rPr>
        <w:t>(</w:t>
      </w:r>
      <w:r>
        <w:rPr>
          <w:rFonts w:hint="eastAsia" w:cs="黑体"/>
          <w:color w:val="auto"/>
          <w:sz w:val="24"/>
          <w:szCs w:val="24"/>
          <w:highlight w:val="none"/>
          <w:u w:val="single"/>
        </w:rPr>
        <w:t>亲笔签名</w:t>
      </w:r>
      <w:r>
        <w:rPr>
          <w:rFonts w:cs="黑体"/>
          <w:color w:val="auto"/>
          <w:sz w:val="24"/>
          <w:szCs w:val="24"/>
          <w:highlight w:val="none"/>
          <w:u w:val="single"/>
        </w:rPr>
        <w:t>)</w:t>
      </w:r>
    </w:p>
    <w:p>
      <w:pPr>
        <w:wordWrap w:val="0"/>
        <w:spacing w:line="360" w:lineRule="auto"/>
        <w:jc w:val="right"/>
        <w:rPr>
          <w:color w:val="auto"/>
          <w:sz w:val="24"/>
          <w:szCs w:val="24"/>
          <w:highlight w:val="none"/>
          <w:u w:val="single"/>
        </w:rPr>
      </w:pPr>
      <w:r>
        <w:rPr>
          <w:rFonts w:hint="eastAsia" w:cs="宋体"/>
          <w:color w:val="auto"/>
          <w:sz w:val="24"/>
          <w:szCs w:val="24"/>
          <w:highlight w:val="none"/>
        </w:rPr>
        <w:t>地址：</w:t>
      </w:r>
      <w:r>
        <w:rPr>
          <w:color w:val="auto"/>
          <w:sz w:val="24"/>
          <w:szCs w:val="24"/>
          <w:highlight w:val="none"/>
        </w:rPr>
        <w:t>___</w:t>
      </w:r>
    </w:p>
    <w:p>
      <w:pPr>
        <w:wordWrap w:val="0"/>
        <w:spacing w:line="360" w:lineRule="auto"/>
        <w:jc w:val="right"/>
        <w:rPr>
          <w:color w:val="auto"/>
          <w:sz w:val="24"/>
          <w:szCs w:val="24"/>
          <w:highlight w:val="none"/>
          <w:u w:val="single"/>
        </w:rPr>
      </w:pPr>
      <w:r>
        <w:rPr>
          <w:rFonts w:hint="eastAsia" w:cs="宋体"/>
          <w:color w:val="auto"/>
          <w:sz w:val="24"/>
          <w:szCs w:val="24"/>
          <w:highlight w:val="none"/>
        </w:rPr>
        <w:t>电话：</w:t>
      </w:r>
      <w:r>
        <w:rPr>
          <w:color w:val="auto"/>
          <w:sz w:val="24"/>
          <w:szCs w:val="24"/>
          <w:highlight w:val="none"/>
        </w:rPr>
        <w:t>___</w:t>
      </w:r>
    </w:p>
    <w:p>
      <w:pPr>
        <w:wordWrap w:val="0"/>
        <w:spacing w:line="360" w:lineRule="auto"/>
        <w:jc w:val="right"/>
        <w:rPr>
          <w:color w:val="auto"/>
          <w:sz w:val="24"/>
          <w:szCs w:val="24"/>
          <w:highlight w:val="none"/>
          <w:u w:val="single"/>
        </w:rPr>
      </w:pPr>
      <w:r>
        <w:rPr>
          <w:rFonts w:hint="eastAsia" w:cs="宋体"/>
          <w:color w:val="auto"/>
          <w:sz w:val="24"/>
          <w:szCs w:val="24"/>
          <w:highlight w:val="none"/>
        </w:rPr>
        <w:t>传真：</w:t>
      </w:r>
      <w:r>
        <w:rPr>
          <w:color w:val="auto"/>
          <w:sz w:val="24"/>
          <w:szCs w:val="24"/>
          <w:highlight w:val="none"/>
        </w:rPr>
        <w:t>___</w:t>
      </w:r>
    </w:p>
    <w:p>
      <w:pPr>
        <w:wordWrap w:val="0"/>
        <w:spacing w:line="360" w:lineRule="auto"/>
        <w:jc w:val="right"/>
        <w:rPr>
          <w:color w:val="auto"/>
          <w:sz w:val="24"/>
          <w:szCs w:val="24"/>
          <w:highlight w:val="none"/>
          <w:u w:val="single"/>
        </w:rPr>
      </w:pPr>
      <w:r>
        <w:rPr>
          <w:rFonts w:hint="eastAsia" w:cs="宋体"/>
          <w:color w:val="auto"/>
          <w:sz w:val="24"/>
          <w:szCs w:val="24"/>
          <w:highlight w:val="none"/>
        </w:rPr>
        <w:t>邮编：</w:t>
      </w:r>
      <w:r>
        <w:rPr>
          <w:color w:val="auto"/>
          <w:sz w:val="24"/>
          <w:szCs w:val="24"/>
          <w:highlight w:val="none"/>
        </w:rPr>
        <w:t>___</w:t>
      </w:r>
    </w:p>
    <w:p>
      <w:pPr>
        <w:tabs>
          <w:tab w:val="left" w:pos="9128"/>
        </w:tabs>
        <w:wordWrap w:val="0"/>
        <w:spacing w:line="360" w:lineRule="auto"/>
        <w:ind w:right="-52"/>
        <w:jc w:val="right"/>
        <w:rPr>
          <w:color w:val="auto"/>
          <w:sz w:val="24"/>
          <w:szCs w:val="24"/>
          <w:highlight w:val="none"/>
        </w:rPr>
      </w:pPr>
      <w:r>
        <w:rPr>
          <w:rFonts w:hint="eastAsia" w:cs="宋体"/>
          <w:color w:val="auto"/>
          <w:sz w:val="24"/>
          <w:szCs w:val="24"/>
          <w:highlight w:val="none"/>
        </w:rPr>
        <w:t>年</w:t>
      </w:r>
      <w:r>
        <w:rPr>
          <w:color w:val="auto"/>
          <w:sz w:val="24"/>
          <w:szCs w:val="24"/>
          <w:highlight w:val="none"/>
        </w:rPr>
        <w:t>___</w:t>
      </w:r>
      <w:r>
        <w:rPr>
          <w:rFonts w:hint="eastAsia" w:cs="宋体"/>
          <w:color w:val="auto"/>
          <w:sz w:val="24"/>
          <w:szCs w:val="24"/>
          <w:highlight w:val="none"/>
        </w:rPr>
        <w:t>月</w:t>
      </w:r>
      <w:r>
        <w:rPr>
          <w:color w:val="auto"/>
          <w:sz w:val="24"/>
          <w:szCs w:val="24"/>
          <w:highlight w:val="none"/>
        </w:rPr>
        <w:t>___</w:t>
      </w:r>
      <w:r>
        <w:rPr>
          <w:rFonts w:hint="eastAsia" w:cs="宋体"/>
          <w:color w:val="auto"/>
          <w:sz w:val="24"/>
          <w:szCs w:val="24"/>
          <w:highlight w:val="none"/>
        </w:rPr>
        <w:t>日</w:t>
      </w:r>
    </w:p>
    <w:p>
      <w:pPr>
        <w:spacing w:line="360" w:lineRule="auto"/>
        <w:jc w:val="right"/>
        <w:rPr>
          <w:color w:val="auto"/>
          <w:sz w:val="24"/>
          <w:szCs w:val="24"/>
          <w:highlight w:val="none"/>
        </w:rPr>
        <w:sectPr>
          <w:pgSz w:w="11906" w:h="16838"/>
          <w:pgMar w:top="993" w:right="1474" w:bottom="993" w:left="1644" w:header="851" w:footer="613" w:gutter="0"/>
          <w:pgNumType w:fmt="decimal"/>
          <w:cols w:space="720" w:num="1"/>
          <w:docGrid w:linePitch="312" w:charSpace="0"/>
        </w:sectPr>
      </w:pPr>
    </w:p>
    <w:p>
      <w:pPr>
        <w:jc w:val="right"/>
        <w:rPr>
          <w:color w:val="auto"/>
          <w:sz w:val="30"/>
          <w:szCs w:val="30"/>
          <w:highlight w:val="none"/>
        </w:rPr>
        <w:sectPr>
          <w:pgSz w:w="11906" w:h="16838"/>
          <w:pgMar w:top="1389" w:right="1474" w:bottom="1389" w:left="1644" w:header="851" w:footer="992" w:gutter="0"/>
          <w:pgNumType w:fmt="decimal"/>
          <w:cols w:space="720" w:num="1"/>
          <w:docGrid w:linePitch="312" w:charSpace="0"/>
        </w:sectPr>
      </w:pPr>
      <w:bookmarkStart w:id="107" w:name="_Toc144974831"/>
    </w:p>
    <w:p>
      <w:pPr>
        <w:spacing w:before="120" w:beforeLines="50" w:after="120" w:afterLines="50"/>
        <w:jc w:val="center"/>
        <w:rPr>
          <w:color w:val="auto"/>
          <w:sz w:val="44"/>
          <w:szCs w:val="44"/>
          <w:highlight w:val="none"/>
        </w:rPr>
      </w:pPr>
      <w:r>
        <w:rPr>
          <w:rFonts w:hint="eastAsia" w:cs="黑体"/>
          <w:color w:val="auto"/>
          <w:sz w:val="44"/>
          <w:szCs w:val="44"/>
          <w:highlight w:val="none"/>
        </w:rPr>
        <w:t>二、授权委托书或法定代表人身份证明</w:t>
      </w:r>
    </w:p>
    <w:p>
      <w:pPr>
        <w:topLinePunct/>
        <w:spacing w:before="120" w:beforeLines="50" w:after="120" w:afterLines="50"/>
        <w:jc w:val="center"/>
        <w:rPr>
          <w:color w:val="auto"/>
          <w:sz w:val="36"/>
          <w:szCs w:val="36"/>
          <w:highlight w:val="none"/>
        </w:rPr>
      </w:pPr>
      <w:r>
        <w:rPr>
          <w:rFonts w:hint="eastAsia" w:cs="黑体"/>
          <w:color w:val="auto"/>
          <w:sz w:val="36"/>
          <w:szCs w:val="36"/>
          <w:highlight w:val="none"/>
        </w:rPr>
        <w:t>（一）授权委托书</w:t>
      </w:r>
    </w:p>
    <w:p>
      <w:pPr>
        <w:topLinePunct/>
        <w:spacing w:before="120" w:beforeLines="50" w:line="400" w:lineRule="exact"/>
        <w:ind w:firstLine="561"/>
        <w:rPr>
          <w:color w:val="auto"/>
          <w:sz w:val="24"/>
          <w:szCs w:val="24"/>
          <w:highlight w:val="none"/>
        </w:rPr>
      </w:pPr>
      <w:r>
        <w:rPr>
          <w:rFonts w:hint="eastAsia" w:cs="宋体"/>
          <w:color w:val="auto"/>
          <w:sz w:val="24"/>
          <w:szCs w:val="24"/>
          <w:highlight w:val="none"/>
        </w:rPr>
        <w:t>本人</w:t>
      </w:r>
      <w:r>
        <w:rPr>
          <w:color w:val="auto"/>
          <w:sz w:val="24"/>
          <w:szCs w:val="24"/>
          <w:highlight w:val="none"/>
          <w:u w:val="single"/>
        </w:rPr>
        <w:t xml:space="preserve">     (</w:t>
      </w:r>
      <w:r>
        <w:rPr>
          <w:rFonts w:hint="eastAsia" w:cs="宋体"/>
          <w:color w:val="auto"/>
          <w:sz w:val="24"/>
          <w:szCs w:val="24"/>
          <w:highlight w:val="none"/>
          <w:u w:val="single"/>
        </w:rPr>
        <w:t>姓名</w:t>
      </w:r>
      <w:r>
        <w:rPr>
          <w:color w:val="auto"/>
          <w:sz w:val="24"/>
          <w:szCs w:val="24"/>
          <w:highlight w:val="none"/>
          <w:u w:val="single"/>
        </w:rPr>
        <w:t>)</w:t>
      </w:r>
      <w:r>
        <w:rPr>
          <w:rFonts w:hint="eastAsia" w:cs="宋体"/>
          <w:color w:val="auto"/>
          <w:sz w:val="24"/>
          <w:szCs w:val="24"/>
          <w:highlight w:val="none"/>
        </w:rPr>
        <w:t>系</w:t>
      </w:r>
      <w:r>
        <w:rPr>
          <w:color w:val="auto"/>
          <w:sz w:val="24"/>
          <w:szCs w:val="24"/>
          <w:highlight w:val="none"/>
          <w:u w:val="single"/>
        </w:rPr>
        <w:t>(</w:t>
      </w:r>
      <w:r>
        <w:rPr>
          <w:rFonts w:hint="eastAsia" w:cs="宋体"/>
          <w:color w:val="auto"/>
          <w:sz w:val="24"/>
          <w:szCs w:val="24"/>
          <w:highlight w:val="none"/>
          <w:u w:val="single"/>
        </w:rPr>
        <w:t>投标人名称</w:t>
      </w:r>
      <w:r>
        <w:rPr>
          <w:color w:val="auto"/>
          <w:sz w:val="24"/>
          <w:szCs w:val="24"/>
          <w:highlight w:val="none"/>
          <w:u w:val="single"/>
        </w:rPr>
        <w:t>)</w:t>
      </w:r>
      <w:r>
        <w:rPr>
          <w:rFonts w:hint="eastAsia" w:cs="宋体"/>
          <w:color w:val="auto"/>
          <w:sz w:val="24"/>
          <w:szCs w:val="24"/>
          <w:highlight w:val="none"/>
        </w:rPr>
        <w:t>的法定代表人，现委托</w:t>
      </w:r>
      <w:r>
        <w:rPr>
          <w:color w:val="auto"/>
          <w:sz w:val="24"/>
          <w:szCs w:val="24"/>
          <w:highlight w:val="none"/>
          <w:u w:val="single"/>
        </w:rPr>
        <w:t xml:space="preserve">    (</w:t>
      </w:r>
      <w:r>
        <w:rPr>
          <w:rFonts w:hint="eastAsia" w:cs="宋体"/>
          <w:color w:val="auto"/>
          <w:sz w:val="24"/>
          <w:szCs w:val="24"/>
          <w:highlight w:val="none"/>
          <w:u w:val="single"/>
        </w:rPr>
        <w:t>姓名</w:t>
      </w:r>
      <w:r>
        <w:rPr>
          <w:color w:val="auto"/>
          <w:sz w:val="24"/>
          <w:szCs w:val="24"/>
          <w:highlight w:val="none"/>
          <w:u w:val="single"/>
        </w:rPr>
        <w:t>)</w:t>
      </w:r>
      <w:r>
        <w:rPr>
          <w:rFonts w:hint="eastAsia" w:cs="宋体"/>
          <w:color w:val="auto"/>
          <w:sz w:val="24"/>
          <w:szCs w:val="24"/>
          <w:highlight w:val="none"/>
        </w:rPr>
        <w:t>为我方代理人。代理人根据授权，以我方名义签署、澄清、说明、补正、递交、撤回、修改</w:t>
      </w:r>
      <w:r>
        <w:rPr>
          <w:rFonts w:hint="eastAsia"/>
          <w:color w:val="auto"/>
          <w:sz w:val="24"/>
          <w:szCs w:val="24"/>
          <w:highlight w:val="none"/>
        </w:rPr>
        <w:t>东灶港站物流配套项目甲供土方运输项目2021TFYS</w:t>
      </w:r>
      <w:r>
        <w:rPr>
          <w:rFonts w:hint="eastAsia" w:cs="宋体"/>
          <w:color w:val="auto"/>
          <w:sz w:val="24"/>
          <w:szCs w:val="24"/>
          <w:highlight w:val="none"/>
        </w:rPr>
        <w:t>施工投标文件、签订合同和处理有关事宜，其法律后果由我方承担。</w:t>
      </w:r>
    </w:p>
    <w:p>
      <w:pPr>
        <w:topLinePunct/>
        <w:spacing w:line="400" w:lineRule="exact"/>
        <w:rPr>
          <w:color w:val="auto"/>
          <w:sz w:val="24"/>
          <w:szCs w:val="24"/>
          <w:highlight w:val="none"/>
        </w:rPr>
      </w:pPr>
    </w:p>
    <w:p>
      <w:pPr>
        <w:topLinePunct/>
        <w:spacing w:line="400" w:lineRule="exact"/>
        <w:ind w:firstLine="480" w:firstLineChars="200"/>
        <w:rPr>
          <w:color w:val="auto"/>
          <w:sz w:val="24"/>
          <w:szCs w:val="24"/>
          <w:highlight w:val="none"/>
          <w:u w:val="single"/>
        </w:rPr>
      </w:pPr>
      <w:r>
        <w:rPr>
          <w:rFonts w:hint="eastAsia" w:cs="宋体"/>
          <w:color w:val="auto"/>
          <w:sz w:val="24"/>
          <w:szCs w:val="24"/>
          <w:highlight w:val="none"/>
        </w:rPr>
        <w:t>委托期限：自本委托书签署之日起至投标有效期期满。</w:t>
      </w:r>
    </w:p>
    <w:p>
      <w:pPr>
        <w:topLinePunct/>
        <w:spacing w:line="400" w:lineRule="exact"/>
        <w:rPr>
          <w:color w:val="auto"/>
          <w:sz w:val="24"/>
          <w:szCs w:val="24"/>
          <w:highlight w:val="none"/>
        </w:rPr>
      </w:pPr>
    </w:p>
    <w:p>
      <w:pPr>
        <w:topLinePunct/>
        <w:spacing w:line="400" w:lineRule="exact"/>
        <w:ind w:firstLine="480" w:firstLineChars="200"/>
        <w:rPr>
          <w:color w:val="auto"/>
          <w:sz w:val="24"/>
          <w:szCs w:val="24"/>
          <w:highlight w:val="none"/>
        </w:rPr>
      </w:pPr>
      <w:r>
        <w:rPr>
          <w:rFonts w:hint="eastAsia" w:cs="宋体"/>
          <w:color w:val="auto"/>
          <w:sz w:val="24"/>
          <w:szCs w:val="24"/>
          <w:highlight w:val="none"/>
        </w:rPr>
        <w:t>代理人无转委托权。</w:t>
      </w:r>
    </w:p>
    <w:p>
      <w:pPr>
        <w:topLinePunct/>
        <w:spacing w:line="400" w:lineRule="exact"/>
        <w:rPr>
          <w:color w:val="auto"/>
          <w:sz w:val="24"/>
          <w:szCs w:val="24"/>
          <w:highlight w:val="none"/>
        </w:rPr>
      </w:pPr>
    </w:p>
    <w:p>
      <w:pPr>
        <w:topLinePunct/>
        <w:spacing w:line="400" w:lineRule="exact"/>
        <w:ind w:firstLine="480" w:firstLineChars="200"/>
        <w:rPr>
          <w:color w:val="auto"/>
          <w:sz w:val="24"/>
          <w:szCs w:val="24"/>
          <w:highlight w:val="none"/>
        </w:rPr>
      </w:pPr>
      <w:r>
        <w:rPr>
          <w:rFonts w:hint="eastAsia" w:cs="宋体"/>
          <w:color w:val="auto"/>
          <w:sz w:val="24"/>
          <w:szCs w:val="24"/>
          <w:highlight w:val="none"/>
        </w:rPr>
        <w:t>附：法定代表人身份证复印件及委托代理人身份证复印件。</w:t>
      </w:r>
    </w:p>
    <w:p>
      <w:pPr>
        <w:topLinePunct/>
        <w:ind w:firstLine="480" w:firstLineChars="200"/>
        <w:rPr>
          <w:color w:val="auto"/>
          <w:sz w:val="24"/>
          <w:szCs w:val="24"/>
          <w:highlight w:val="none"/>
        </w:rPr>
      </w:pPr>
    </w:p>
    <w:p>
      <w:pPr>
        <w:topLinePunct/>
        <w:rPr>
          <w:color w:val="auto"/>
          <w:sz w:val="24"/>
          <w:szCs w:val="24"/>
          <w:highlight w:val="none"/>
        </w:rPr>
      </w:pPr>
    </w:p>
    <w:p>
      <w:pPr>
        <w:wordWrap w:val="0"/>
        <w:topLinePunct/>
        <w:jc w:val="right"/>
        <w:rPr>
          <w:color w:val="auto"/>
          <w:sz w:val="24"/>
          <w:szCs w:val="24"/>
          <w:highlight w:val="none"/>
          <w:u w:val="single"/>
        </w:rPr>
      </w:pPr>
      <w:r>
        <w:rPr>
          <w:rFonts w:hint="eastAsia" w:cs="宋体"/>
          <w:color w:val="auto"/>
          <w:sz w:val="24"/>
          <w:szCs w:val="24"/>
          <w:highlight w:val="none"/>
        </w:rPr>
        <w:t>投标人：</w:t>
      </w:r>
      <w:r>
        <w:rPr>
          <w:rFonts w:cs="黑体"/>
          <w:color w:val="auto"/>
          <w:sz w:val="24"/>
          <w:szCs w:val="24"/>
          <w:highlight w:val="none"/>
          <w:u w:val="single"/>
        </w:rPr>
        <w:t>(</w:t>
      </w:r>
      <w:r>
        <w:rPr>
          <w:rFonts w:hint="eastAsia" w:cs="黑体"/>
          <w:color w:val="auto"/>
          <w:sz w:val="24"/>
          <w:szCs w:val="24"/>
          <w:highlight w:val="none"/>
          <w:u w:val="single"/>
        </w:rPr>
        <w:t>盖单位章</w:t>
      </w:r>
      <w:r>
        <w:rPr>
          <w:rFonts w:cs="黑体"/>
          <w:color w:val="auto"/>
          <w:sz w:val="24"/>
          <w:szCs w:val="24"/>
          <w:highlight w:val="none"/>
          <w:u w:val="single"/>
        </w:rPr>
        <w:t>)</w:t>
      </w:r>
    </w:p>
    <w:p>
      <w:pPr>
        <w:topLinePunct/>
        <w:rPr>
          <w:color w:val="auto"/>
          <w:sz w:val="24"/>
          <w:szCs w:val="24"/>
          <w:highlight w:val="none"/>
        </w:rPr>
      </w:pPr>
    </w:p>
    <w:p>
      <w:pPr>
        <w:wordWrap w:val="0"/>
        <w:topLinePunct/>
        <w:jc w:val="right"/>
        <w:rPr>
          <w:color w:val="auto"/>
          <w:sz w:val="24"/>
          <w:szCs w:val="24"/>
          <w:highlight w:val="none"/>
          <w:u w:val="single"/>
        </w:rPr>
      </w:pPr>
      <w:r>
        <w:rPr>
          <w:rFonts w:hint="eastAsia" w:cs="宋体"/>
          <w:color w:val="auto"/>
          <w:sz w:val="24"/>
          <w:szCs w:val="24"/>
          <w:highlight w:val="none"/>
        </w:rPr>
        <w:t>法定代表人：</w:t>
      </w:r>
      <w:r>
        <w:rPr>
          <w:rFonts w:hint="eastAsia" w:cs="黑体"/>
          <w:color w:val="auto"/>
          <w:sz w:val="24"/>
          <w:szCs w:val="24"/>
          <w:highlight w:val="none"/>
          <w:u w:val="single"/>
        </w:rPr>
        <w:t>（亲笔签名或签名章）</w:t>
      </w:r>
    </w:p>
    <w:p>
      <w:pPr>
        <w:topLinePunct/>
        <w:rPr>
          <w:color w:val="auto"/>
          <w:sz w:val="24"/>
          <w:szCs w:val="24"/>
          <w:highlight w:val="none"/>
        </w:rPr>
      </w:pPr>
    </w:p>
    <w:p>
      <w:pPr>
        <w:wordWrap w:val="0"/>
        <w:topLinePunct/>
        <w:ind w:firstLine="3839"/>
        <w:jc w:val="right"/>
        <w:rPr>
          <w:color w:val="auto"/>
          <w:sz w:val="24"/>
          <w:szCs w:val="24"/>
          <w:highlight w:val="none"/>
          <w:u w:val="single"/>
        </w:rPr>
      </w:pPr>
      <w:r>
        <w:rPr>
          <w:rFonts w:hint="eastAsia" w:cs="宋体"/>
          <w:color w:val="auto"/>
          <w:sz w:val="24"/>
          <w:szCs w:val="24"/>
          <w:highlight w:val="none"/>
        </w:rPr>
        <w:t>身份证号码：</w:t>
      </w:r>
    </w:p>
    <w:p>
      <w:pPr>
        <w:topLinePunct/>
        <w:rPr>
          <w:color w:val="auto"/>
          <w:sz w:val="24"/>
          <w:szCs w:val="24"/>
          <w:highlight w:val="none"/>
        </w:rPr>
      </w:pPr>
    </w:p>
    <w:p>
      <w:pPr>
        <w:wordWrap w:val="0"/>
        <w:topLinePunct/>
        <w:ind w:firstLine="3839"/>
        <w:jc w:val="right"/>
        <w:rPr>
          <w:color w:val="auto"/>
          <w:sz w:val="24"/>
          <w:szCs w:val="24"/>
          <w:highlight w:val="none"/>
          <w:u w:val="single"/>
        </w:rPr>
      </w:pPr>
      <w:r>
        <w:rPr>
          <w:rFonts w:hint="eastAsia" w:cs="宋体"/>
          <w:color w:val="auto"/>
          <w:sz w:val="24"/>
          <w:szCs w:val="24"/>
          <w:highlight w:val="none"/>
        </w:rPr>
        <w:t>委托代理人：</w:t>
      </w:r>
      <w:r>
        <w:rPr>
          <w:rFonts w:hint="eastAsia" w:cs="黑体"/>
          <w:color w:val="auto"/>
          <w:sz w:val="24"/>
          <w:szCs w:val="24"/>
          <w:highlight w:val="none"/>
          <w:u w:val="single"/>
        </w:rPr>
        <w:t>（亲笔签名或签名章）</w:t>
      </w:r>
    </w:p>
    <w:p>
      <w:pPr>
        <w:topLinePunct/>
        <w:rPr>
          <w:color w:val="auto"/>
          <w:sz w:val="24"/>
          <w:szCs w:val="24"/>
          <w:highlight w:val="none"/>
        </w:rPr>
      </w:pPr>
    </w:p>
    <w:p>
      <w:pPr>
        <w:wordWrap w:val="0"/>
        <w:topLinePunct/>
        <w:ind w:firstLine="3839"/>
        <w:jc w:val="right"/>
        <w:rPr>
          <w:color w:val="auto"/>
          <w:sz w:val="24"/>
          <w:szCs w:val="24"/>
          <w:highlight w:val="none"/>
        </w:rPr>
      </w:pPr>
      <w:r>
        <w:rPr>
          <w:rFonts w:hint="eastAsia" w:cs="宋体"/>
          <w:color w:val="auto"/>
          <w:sz w:val="24"/>
          <w:szCs w:val="24"/>
          <w:highlight w:val="none"/>
        </w:rPr>
        <w:t>身份证号码：</w:t>
      </w:r>
    </w:p>
    <w:p>
      <w:pPr>
        <w:topLinePunct/>
        <w:spacing w:before="120" w:beforeLines="50" w:after="120" w:afterLines="50"/>
        <w:jc w:val="right"/>
        <w:rPr>
          <w:color w:val="auto"/>
          <w:sz w:val="24"/>
          <w:szCs w:val="24"/>
          <w:highlight w:val="none"/>
        </w:rPr>
      </w:pPr>
      <w:r>
        <w:rPr>
          <w:rFonts w:hint="eastAsia" w:cs="宋体"/>
          <w:color w:val="auto"/>
          <w:sz w:val="24"/>
          <w:szCs w:val="24"/>
          <w:highlight w:val="none"/>
        </w:rPr>
        <w:t>年月日</w:t>
      </w:r>
    </w:p>
    <w:p>
      <w:pPr>
        <w:topLinePunct/>
        <w:spacing w:before="120" w:beforeLines="50" w:after="120" w:afterLines="50"/>
        <w:jc w:val="center"/>
        <w:rPr>
          <w:color w:val="auto"/>
          <w:sz w:val="36"/>
          <w:szCs w:val="36"/>
          <w:highlight w:val="none"/>
        </w:rPr>
      </w:pPr>
    </w:p>
    <w:p>
      <w:pPr>
        <w:topLinePunct/>
        <w:spacing w:line="400" w:lineRule="exact"/>
        <w:ind w:firstLine="560" w:firstLineChars="200"/>
        <w:rPr>
          <w:color w:val="auto"/>
          <w:sz w:val="28"/>
          <w:szCs w:val="28"/>
          <w:highlight w:val="none"/>
        </w:rPr>
      </w:pPr>
    </w:p>
    <w:p>
      <w:pPr>
        <w:topLinePunct/>
        <w:spacing w:line="400" w:lineRule="exact"/>
        <w:ind w:firstLine="560" w:firstLineChars="200"/>
        <w:rPr>
          <w:color w:val="auto"/>
          <w:sz w:val="28"/>
          <w:szCs w:val="28"/>
          <w:highlight w:val="none"/>
        </w:rPr>
      </w:pPr>
    </w:p>
    <w:p>
      <w:pPr>
        <w:topLinePunct/>
        <w:spacing w:line="400" w:lineRule="exact"/>
        <w:ind w:firstLine="560" w:firstLineChars="200"/>
        <w:rPr>
          <w:color w:val="auto"/>
          <w:sz w:val="28"/>
          <w:szCs w:val="28"/>
          <w:highlight w:val="none"/>
        </w:rPr>
      </w:pPr>
    </w:p>
    <w:p>
      <w:pPr>
        <w:topLinePunct/>
        <w:spacing w:line="400" w:lineRule="exact"/>
        <w:ind w:firstLine="560" w:firstLineChars="200"/>
        <w:rPr>
          <w:color w:val="auto"/>
          <w:sz w:val="28"/>
          <w:szCs w:val="28"/>
          <w:highlight w:val="none"/>
        </w:rPr>
      </w:pPr>
    </w:p>
    <w:p>
      <w:pPr>
        <w:topLinePunct/>
        <w:spacing w:line="400" w:lineRule="exact"/>
        <w:ind w:firstLine="560" w:firstLineChars="200"/>
        <w:rPr>
          <w:color w:val="auto"/>
          <w:sz w:val="28"/>
          <w:szCs w:val="28"/>
          <w:highlight w:val="none"/>
        </w:rPr>
      </w:pPr>
    </w:p>
    <w:p>
      <w:pPr>
        <w:spacing w:before="120" w:beforeLines="50" w:after="120" w:afterLines="50"/>
        <w:jc w:val="left"/>
        <w:rPr>
          <w:b/>
          <w:bCs/>
          <w:color w:val="auto"/>
          <w:highlight w:val="none"/>
        </w:rPr>
      </w:pPr>
      <w:r>
        <w:rPr>
          <w:rFonts w:hint="eastAsia" w:cs="黑体"/>
          <w:b/>
          <w:bCs/>
          <w:color w:val="auto"/>
          <w:highlight w:val="none"/>
        </w:rPr>
        <w:t>注：</w:t>
      </w:r>
      <w:r>
        <w:rPr>
          <w:b/>
          <w:bCs/>
          <w:color w:val="auto"/>
          <w:highlight w:val="none"/>
        </w:rPr>
        <w:t xml:space="preserve"> 1</w:t>
      </w:r>
      <w:r>
        <w:rPr>
          <w:rFonts w:hint="eastAsia" w:cs="黑体"/>
          <w:b/>
          <w:bCs/>
          <w:color w:val="auto"/>
          <w:highlight w:val="none"/>
        </w:rPr>
        <w:t>、法定代表人和委托代理人必须在授权委托书上</w:t>
      </w:r>
      <w:r>
        <w:rPr>
          <w:rFonts w:hint="eastAsia" w:cs="黑体"/>
          <w:b/>
          <w:bCs/>
          <w:color w:val="auto"/>
          <w:highlight w:val="none"/>
          <w:u w:val="single"/>
        </w:rPr>
        <w:t>亲笔签名或签名章</w:t>
      </w:r>
      <w:r>
        <w:rPr>
          <w:rFonts w:hint="eastAsia" w:cs="黑体"/>
          <w:b/>
          <w:bCs/>
          <w:color w:val="auto"/>
          <w:highlight w:val="none"/>
        </w:rPr>
        <w:t>；</w:t>
      </w:r>
    </w:p>
    <w:p>
      <w:pPr>
        <w:spacing w:before="120" w:beforeLines="50" w:after="120" w:afterLines="50"/>
        <w:ind w:firstLine="422" w:firstLineChars="200"/>
        <w:jc w:val="left"/>
        <w:rPr>
          <w:b/>
          <w:bCs/>
          <w:color w:val="auto"/>
          <w:highlight w:val="none"/>
        </w:rPr>
      </w:pPr>
      <w:r>
        <w:rPr>
          <w:b/>
          <w:bCs/>
          <w:color w:val="auto"/>
          <w:highlight w:val="none"/>
        </w:rPr>
        <w:t>2</w:t>
      </w:r>
      <w:r>
        <w:rPr>
          <w:rFonts w:hint="eastAsia" w:cs="黑体"/>
          <w:b/>
          <w:bCs/>
          <w:color w:val="auto"/>
          <w:highlight w:val="none"/>
        </w:rPr>
        <w:t>、如果由投标人的法定代表人签署投标文件，则无须提交授权委托书。</w:t>
      </w:r>
    </w:p>
    <w:p>
      <w:pPr>
        <w:pStyle w:val="197"/>
        <w:topLinePunct/>
        <w:spacing w:line="400" w:lineRule="exact"/>
        <w:ind w:left="560" w:firstLine="0" w:firstLineChars="0"/>
        <w:rPr>
          <w:color w:val="auto"/>
          <w:sz w:val="28"/>
          <w:szCs w:val="28"/>
          <w:highlight w:val="none"/>
        </w:rPr>
      </w:pPr>
      <w:r>
        <w:rPr>
          <w:color w:val="auto"/>
          <w:sz w:val="27"/>
          <w:szCs w:val="27"/>
          <w:highlight w:val="none"/>
        </w:rPr>
        <w:br w:type="page"/>
      </w:r>
    </w:p>
    <w:p>
      <w:pPr>
        <w:topLinePunct/>
        <w:spacing w:before="120" w:beforeLines="50" w:after="120" w:afterLines="50"/>
        <w:jc w:val="center"/>
        <w:rPr>
          <w:color w:val="auto"/>
          <w:sz w:val="36"/>
          <w:szCs w:val="36"/>
          <w:highlight w:val="none"/>
        </w:rPr>
      </w:pPr>
      <w:r>
        <w:rPr>
          <w:color w:val="auto"/>
          <w:sz w:val="36"/>
          <w:szCs w:val="36"/>
          <w:highlight w:val="none"/>
        </w:rPr>
        <w:t xml:space="preserve"> (</w:t>
      </w:r>
      <w:r>
        <w:rPr>
          <w:rFonts w:hint="eastAsia" w:cs="黑体"/>
          <w:color w:val="auto"/>
          <w:sz w:val="36"/>
          <w:szCs w:val="36"/>
          <w:highlight w:val="none"/>
        </w:rPr>
        <w:t>二</w:t>
      </w:r>
      <w:r>
        <w:rPr>
          <w:color w:val="auto"/>
          <w:sz w:val="36"/>
          <w:szCs w:val="36"/>
          <w:highlight w:val="none"/>
        </w:rPr>
        <w:t>)</w:t>
      </w:r>
      <w:r>
        <w:rPr>
          <w:rFonts w:hint="eastAsia" w:cs="黑体"/>
          <w:color w:val="auto"/>
          <w:sz w:val="36"/>
          <w:szCs w:val="36"/>
          <w:highlight w:val="none"/>
        </w:rPr>
        <w:t>法定代表人身份证明</w:t>
      </w:r>
    </w:p>
    <w:p>
      <w:pPr>
        <w:topLinePunct/>
        <w:rPr>
          <w:color w:val="auto"/>
          <w:sz w:val="28"/>
          <w:szCs w:val="28"/>
          <w:highlight w:val="none"/>
        </w:rPr>
      </w:pPr>
    </w:p>
    <w:p>
      <w:pPr>
        <w:topLinePunct/>
        <w:rPr>
          <w:color w:val="auto"/>
          <w:sz w:val="28"/>
          <w:szCs w:val="28"/>
          <w:highlight w:val="none"/>
        </w:rPr>
      </w:pPr>
    </w:p>
    <w:p>
      <w:pPr>
        <w:topLinePunct/>
        <w:rPr>
          <w:color w:val="auto"/>
          <w:sz w:val="24"/>
          <w:szCs w:val="24"/>
          <w:highlight w:val="none"/>
          <w:u w:val="single"/>
        </w:rPr>
      </w:pPr>
      <w:r>
        <w:rPr>
          <w:rFonts w:hint="eastAsia" w:cs="宋体"/>
          <w:color w:val="auto"/>
          <w:sz w:val="24"/>
          <w:szCs w:val="24"/>
          <w:highlight w:val="none"/>
        </w:rPr>
        <w:t>投标人名称：</w:t>
      </w:r>
    </w:p>
    <w:p>
      <w:pPr>
        <w:topLinePunct/>
        <w:rPr>
          <w:color w:val="auto"/>
          <w:sz w:val="24"/>
          <w:szCs w:val="24"/>
          <w:highlight w:val="none"/>
        </w:rPr>
      </w:pPr>
    </w:p>
    <w:p>
      <w:pPr>
        <w:topLinePunct/>
        <w:rPr>
          <w:color w:val="auto"/>
          <w:sz w:val="24"/>
          <w:szCs w:val="24"/>
          <w:highlight w:val="none"/>
          <w:u w:val="single"/>
        </w:rPr>
      </w:pPr>
      <w:r>
        <w:rPr>
          <w:rFonts w:hint="eastAsia" w:cs="宋体"/>
          <w:color w:val="auto"/>
          <w:sz w:val="24"/>
          <w:szCs w:val="24"/>
          <w:highlight w:val="none"/>
        </w:rPr>
        <w:t>姓名：</w:t>
      </w:r>
      <w:r>
        <w:rPr>
          <w:rFonts w:cs="黑体"/>
          <w:b/>
          <w:bCs/>
          <w:color w:val="auto"/>
          <w:sz w:val="24"/>
          <w:szCs w:val="24"/>
          <w:highlight w:val="none"/>
          <w:u w:val="single"/>
        </w:rPr>
        <w:t>(</w:t>
      </w:r>
      <w:r>
        <w:rPr>
          <w:rFonts w:hint="eastAsia" w:cs="黑体"/>
          <w:b/>
          <w:bCs/>
          <w:color w:val="auto"/>
          <w:sz w:val="24"/>
          <w:szCs w:val="24"/>
          <w:highlight w:val="none"/>
          <w:u w:val="single"/>
        </w:rPr>
        <w:t>法定代表人亲笔签名或签名章</w:t>
      </w:r>
      <w:r>
        <w:rPr>
          <w:rFonts w:cs="黑体"/>
          <w:b/>
          <w:bCs/>
          <w:color w:val="auto"/>
          <w:sz w:val="24"/>
          <w:szCs w:val="24"/>
          <w:highlight w:val="none"/>
          <w:u w:val="single"/>
        </w:rPr>
        <w:t>)</w:t>
      </w:r>
      <w:r>
        <w:rPr>
          <w:rFonts w:hint="eastAsia" w:cs="宋体"/>
          <w:color w:val="auto"/>
          <w:sz w:val="24"/>
          <w:szCs w:val="24"/>
          <w:highlight w:val="none"/>
        </w:rPr>
        <w:t>性别：年龄：职务：</w:t>
      </w:r>
    </w:p>
    <w:p>
      <w:pPr>
        <w:topLinePunct/>
        <w:rPr>
          <w:color w:val="auto"/>
          <w:sz w:val="24"/>
          <w:szCs w:val="24"/>
          <w:highlight w:val="none"/>
        </w:rPr>
      </w:pPr>
    </w:p>
    <w:p>
      <w:pPr>
        <w:topLinePunct/>
        <w:rPr>
          <w:color w:val="auto"/>
          <w:sz w:val="24"/>
          <w:szCs w:val="24"/>
          <w:highlight w:val="none"/>
        </w:rPr>
      </w:pPr>
      <w:r>
        <w:rPr>
          <w:rFonts w:hint="eastAsia" w:cs="宋体"/>
          <w:color w:val="auto"/>
          <w:sz w:val="24"/>
          <w:szCs w:val="24"/>
          <w:highlight w:val="none"/>
        </w:rPr>
        <w:t>系</w:t>
      </w:r>
      <w:r>
        <w:rPr>
          <w:color w:val="auto"/>
          <w:sz w:val="24"/>
          <w:szCs w:val="24"/>
          <w:highlight w:val="none"/>
          <w:u w:val="single"/>
        </w:rPr>
        <w:t>(</w:t>
      </w:r>
      <w:r>
        <w:rPr>
          <w:rFonts w:hint="eastAsia" w:cs="宋体"/>
          <w:color w:val="auto"/>
          <w:sz w:val="24"/>
          <w:szCs w:val="24"/>
          <w:highlight w:val="none"/>
          <w:u w:val="single"/>
        </w:rPr>
        <w:t>投标人名称</w:t>
      </w:r>
      <w:r>
        <w:rPr>
          <w:color w:val="auto"/>
          <w:sz w:val="24"/>
          <w:szCs w:val="24"/>
          <w:highlight w:val="none"/>
          <w:u w:val="single"/>
        </w:rPr>
        <w:t xml:space="preserve">)        </w:t>
      </w:r>
      <w:r>
        <w:rPr>
          <w:rFonts w:hint="eastAsia" w:cs="宋体"/>
          <w:color w:val="auto"/>
          <w:sz w:val="24"/>
          <w:szCs w:val="24"/>
          <w:highlight w:val="none"/>
        </w:rPr>
        <w:t>的法定代表人。</w:t>
      </w:r>
    </w:p>
    <w:p>
      <w:pPr>
        <w:topLinePunct/>
        <w:rPr>
          <w:color w:val="auto"/>
          <w:sz w:val="24"/>
          <w:szCs w:val="24"/>
          <w:highlight w:val="none"/>
        </w:rPr>
      </w:pPr>
    </w:p>
    <w:p>
      <w:pPr>
        <w:topLinePunct/>
        <w:rPr>
          <w:color w:val="auto"/>
          <w:sz w:val="24"/>
          <w:szCs w:val="24"/>
          <w:highlight w:val="none"/>
        </w:rPr>
      </w:pPr>
      <w:r>
        <w:rPr>
          <w:rFonts w:hint="eastAsia" w:cs="宋体"/>
          <w:color w:val="auto"/>
          <w:sz w:val="24"/>
          <w:szCs w:val="24"/>
          <w:highlight w:val="none"/>
        </w:rPr>
        <w:t>特此证明。</w:t>
      </w:r>
    </w:p>
    <w:p>
      <w:pPr>
        <w:topLinePunct/>
        <w:rPr>
          <w:color w:val="auto"/>
          <w:sz w:val="24"/>
          <w:szCs w:val="24"/>
          <w:highlight w:val="none"/>
        </w:rPr>
      </w:pPr>
    </w:p>
    <w:p>
      <w:pPr>
        <w:topLinePunct/>
        <w:rPr>
          <w:color w:val="auto"/>
          <w:sz w:val="24"/>
          <w:szCs w:val="24"/>
          <w:highlight w:val="none"/>
        </w:rPr>
      </w:pPr>
      <w:r>
        <w:rPr>
          <w:rFonts w:hint="eastAsia" w:cs="宋体"/>
          <w:color w:val="auto"/>
          <w:sz w:val="24"/>
          <w:szCs w:val="24"/>
          <w:highlight w:val="none"/>
        </w:rPr>
        <w:t>附：法定代表人身份证复印件。</w:t>
      </w:r>
    </w:p>
    <w:p>
      <w:pPr>
        <w:topLinePunct/>
        <w:rPr>
          <w:color w:val="auto"/>
          <w:sz w:val="24"/>
          <w:szCs w:val="24"/>
          <w:highlight w:val="none"/>
        </w:rPr>
      </w:pPr>
    </w:p>
    <w:p>
      <w:pPr>
        <w:topLinePunct/>
        <w:rPr>
          <w:color w:val="auto"/>
          <w:sz w:val="24"/>
          <w:szCs w:val="24"/>
          <w:highlight w:val="none"/>
        </w:rPr>
      </w:pPr>
    </w:p>
    <w:p>
      <w:pPr>
        <w:wordWrap w:val="0"/>
        <w:topLinePunct/>
        <w:ind w:right="-52"/>
        <w:jc w:val="right"/>
        <w:rPr>
          <w:color w:val="auto"/>
          <w:sz w:val="24"/>
          <w:szCs w:val="24"/>
          <w:highlight w:val="none"/>
          <w:u w:val="single"/>
        </w:rPr>
      </w:pPr>
      <w:r>
        <w:rPr>
          <w:rFonts w:hint="eastAsia" w:cs="宋体"/>
          <w:color w:val="auto"/>
          <w:sz w:val="24"/>
          <w:szCs w:val="24"/>
          <w:highlight w:val="none"/>
        </w:rPr>
        <w:t>投标人：</w:t>
      </w:r>
      <w:r>
        <w:rPr>
          <w:color w:val="auto"/>
          <w:sz w:val="24"/>
          <w:szCs w:val="24"/>
          <w:highlight w:val="none"/>
          <w:u w:val="single"/>
        </w:rPr>
        <w:t>(</w:t>
      </w:r>
      <w:r>
        <w:rPr>
          <w:rFonts w:hint="eastAsia" w:cs="黑体"/>
          <w:color w:val="auto"/>
          <w:sz w:val="24"/>
          <w:szCs w:val="24"/>
          <w:highlight w:val="none"/>
          <w:u w:val="single"/>
        </w:rPr>
        <w:t>盖单位章</w:t>
      </w:r>
      <w:r>
        <w:rPr>
          <w:color w:val="auto"/>
          <w:sz w:val="24"/>
          <w:szCs w:val="24"/>
          <w:highlight w:val="none"/>
          <w:u w:val="single"/>
        </w:rPr>
        <w:t xml:space="preserve">)     </w:t>
      </w:r>
    </w:p>
    <w:p>
      <w:pPr>
        <w:topLinePunct/>
        <w:rPr>
          <w:color w:val="auto"/>
          <w:sz w:val="24"/>
          <w:szCs w:val="24"/>
          <w:highlight w:val="none"/>
        </w:rPr>
      </w:pPr>
    </w:p>
    <w:p>
      <w:pPr>
        <w:wordWrap w:val="0"/>
        <w:topLinePunct/>
        <w:jc w:val="right"/>
        <w:rPr>
          <w:color w:val="auto"/>
          <w:sz w:val="24"/>
          <w:szCs w:val="24"/>
          <w:highlight w:val="none"/>
        </w:rPr>
      </w:pPr>
      <w:r>
        <w:rPr>
          <w:rFonts w:hint="eastAsia" w:cs="宋体"/>
          <w:color w:val="auto"/>
          <w:sz w:val="24"/>
          <w:szCs w:val="24"/>
          <w:highlight w:val="none"/>
        </w:rPr>
        <w:t>年月日</w:t>
      </w:r>
    </w:p>
    <w:p>
      <w:pPr>
        <w:topLinePunct/>
        <w:rPr>
          <w:color w:val="auto"/>
          <w:sz w:val="28"/>
          <w:szCs w:val="28"/>
          <w:highlight w:val="none"/>
        </w:rPr>
      </w:pPr>
    </w:p>
    <w:p>
      <w:pPr>
        <w:topLinePunct/>
        <w:rPr>
          <w:color w:val="auto"/>
          <w:sz w:val="28"/>
          <w:szCs w:val="28"/>
          <w:highlight w:val="none"/>
        </w:rPr>
      </w:pPr>
    </w:p>
    <w:p>
      <w:pPr>
        <w:topLinePunct/>
        <w:rPr>
          <w:color w:val="auto"/>
          <w:sz w:val="28"/>
          <w:szCs w:val="28"/>
          <w:highlight w:val="none"/>
        </w:rPr>
      </w:pPr>
    </w:p>
    <w:p>
      <w:pPr>
        <w:rPr>
          <w:b/>
          <w:bCs/>
          <w:color w:val="auto"/>
          <w:highlight w:val="none"/>
        </w:rPr>
      </w:pPr>
    </w:p>
    <w:p>
      <w:pPr>
        <w:spacing w:before="120" w:beforeLines="50" w:after="120" w:afterLines="50"/>
        <w:jc w:val="center"/>
        <w:rPr>
          <w:b/>
          <w:bCs/>
          <w:color w:val="auto"/>
          <w:highlight w:val="none"/>
        </w:rPr>
      </w:pPr>
    </w:p>
    <w:p>
      <w:pPr>
        <w:spacing w:before="120" w:beforeLines="50" w:after="120" w:afterLines="50"/>
        <w:jc w:val="center"/>
        <w:rPr>
          <w:b/>
          <w:bCs/>
          <w:color w:val="auto"/>
          <w:highlight w:val="none"/>
        </w:rPr>
      </w:pPr>
    </w:p>
    <w:p>
      <w:pPr>
        <w:spacing w:before="120" w:beforeLines="50" w:after="120" w:afterLines="50"/>
        <w:jc w:val="center"/>
        <w:rPr>
          <w:b/>
          <w:bCs/>
          <w:color w:val="auto"/>
          <w:highlight w:val="none"/>
        </w:rPr>
      </w:pPr>
    </w:p>
    <w:p>
      <w:pPr>
        <w:spacing w:before="120" w:beforeLines="50" w:after="120" w:afterLines="50"/>
        <w:jc w:val="center"/>
        <w:rPr>
          <w:b/>
          <w:bCs/>
          <w:color w:val="auto"/>
          <w:highlight w:val="none"/>
        </w:rPr>
      </w:pPr>
    </w:p>
    <w:p>
      <w:pPr>
        <w:spacing w:before="120" w:beforeLines="50" w:after="120" w:afterLines="50"/>
        <w:jc w:val="center"/>
        <w:rPr>
          <w:b/>
          <w:bCs/>
          <w:color w:val="auto"/>
          <w:highlight w:val="none"/>
        </w:rPr>
      </w:pPr>
    </w:p>
    <w:p>
      <w:pPr>
        <w:spacing w:before="120" w:beforeLines="50" w:after="120" w:afterLines="50"/>
        <w:jc w:val="center"/>
        <w:rPr>
          <w:b/>
          <w:bCs/>
          <w:color w:val="auto"/>
          <w:highlight w:val="none"/>
        </w:rPr>
      </w:pPr>
      <w:r>
        <w:rPr>
          <w:rFonts w:hint="eastAsia" w:cs="黑体"/>
          <w:b/>
          <w:bCs/>
          <w:color w:val="auto"/>
          <w:highlight w:val="none"/>
        </w:rPr>
        <w:t>注：法定代表人的签字必须是</w:t>
      </w:r>
      <w:r>
        <w:rPr>
          <w:rFonts w:hint="eastAsia" w:cs="黑体"/>
          <w:b/>
          <w:bCs/>
          <w:color w:val="auto"/>
          <w:highlight w:val="none"/>
          <w:u w:val="single"/>
        </w:rPr>
        <w:t>亲笔签名或签名章</w:t>
      </w:r>
      <w:r>
        <w:rPr>
          <w:rFonts w:hint="eastAsia" w:cs="黑体"/>
          <w:b/>
          <w:bCs/>
          <w:color w:val="auto"/>
          <w:highlight w:val="none"/>
        </w:rPr>
        <w:t>。</w:t>
      </w:r>
    </w:p>
    <w:p>
      <w:pPr>
        <w:spacing w:before="120" w:beforeLines="50" w:after="120" w:afterLines="50"/>
        <w:jc w:val="center"/>
        <w:rPr>
          <w:color w:val="auto"/>
          <w:sz w:val="44"/>
          <w:szCs w:val="44"/>
          <w:highlight w:val="none"/>
        </w:rPr>
      </w:pPr>
      <w:r>
        <w:rPr>
          <w:color w:val="auto"/>
          <w:sz w:val="24"/>
          <w:szCs w:val="24"/>
          <w:highlight w:val="none"/>
        </w:rPr>
        <w:br w:type="page"/>
      </w:r>
      <w:r>
        <w:rPr>
          <w:rFonts w:hint="eastAsia" w:cs="黑体"/>
          <w:color w:val="auto"/>
          <w:sz w:val="44"/>
          <w:szCs w:val="44"/>
          <w:highlight w:val="none"/>
        </w:rPr>
        <w:t>三、投标保证金</w:t>
      </w:r>
    </w:p>
    <w:p>
      <w:pPr>
        <w:rPr>
          <w:color w:val="auto"/>
          <w:sz w:val="28"/>
          <w:szCs w:val="28"/>
          <w:highlight w:val="none"/>
        </w:rPr>
      </w:pPr>
    </w:p>
    <w:bookmarkEnd w:id="107"/>
    <w:p>
      <w:pPr>
        <w:spacing w:line="400" w:lineRule="exact"/>
        <w:jc w:val="center"/>
        <w:rPr>
          <w:b/>
          <w:bCs/>
          <w:color w:val="auto"/>
          <w:sz w:val="24"/>
          <w:szCs w:val="24"/>
          <w:highlight w:val="none"/>
        </w:rPr>
      </w:pPr>
      <w:bookmarkStart w:id="108" w:name="_Toc152045769"/>
      <w:bookmarkStart w:id="109" w:name="_Toc152042551"/>
      <w:bookmarkStart w:id="110" w:name="_Toc179632787"/>
      <w:r>
        <w:rPr>
          <w:rFonts w:hint="eastAsia" w:cs="宋体"/>
          <w:b/>
          <w:bCs/>
          <w:color w:val="auto"/>
          <w:highlight w:val="none"/>
        </w:rPr>
        <w:t>采用电汇、银行汇票或本票形式投标保证金的，在此附投标保证金（电汇单，或银行汇票，或银行本票及本票</w:t>
      </w:r>
      <w:r>
        <w:rPr>
          <w:rFonts w:hint="eastAsia" w:cs="宋体"/>
          <w:b/>
          <w:bCs/>
          <w:color w:val="auto"/>
          <w:highlight w:val="none"/>
          <w:u w:val="single"/>
        </w:rPr>
        <w:t>申请单</w:t>
      </w:r>
      <w:r>
        <w:rPr>
          <w:rFonts w:hint="eastAsia" w:cs="宋体"/>
          <w:b/>
          <w:bCs/>
          <w:color w:val="auto"/>
          <w:highlight w:val="none"/>
        </w:rPr>
        <w:t>）的复印件</w:t>
      </w:r>
      <w:bookmarkEnd w:id="108"/>
      <w:bookmarkEnd w:id="109"/>
      <w:bookmarkEnd w:id="110"/>
      <w:r>
        <w:rPr>
          <w:rFonts w:hint="eastAsia" w:cs="宋体"/>
          <w:b/>
          <w:bCs/>
          <w:color w:val="auto"/>
          <w:sz w:val="24"/>
          <w:szCs w:val="24"/>
          <w:highlight w:val="none"/>
        </w:rPr>
        <w:t>。</w:t>
      </w: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jc w:val="center"/>
        <w:rPr>
          <w:b/>
          <w:bCs/>
          <w:color w:val="auto"/>
          <w:sz w:val="24"/>
          <w:szCs w:val="24"/>
          <w:highlight w:val="none"/>
        </w:rPr>
      </w:pPr>
    </w:p>
    <w:p>
      <w:pPr>
        <w:spacing w:line="400" w:lineRule="exact"/>
        <w:rPr>
          <w:b/>
          <w:bCs/>
          <w:color w:val="auto"/>
          <w:sz w:val="24"/>
          <w:szCs w:val="24"/>
          <w:highlight w:val="none"/>
        </w:rPr>
      </w:pPr>
      <w:r>
        <w:rPr>
          <w:rFonts w:hint="eastAsia" w:cs="宋体"/>
          <w:b/>
          <w:bCs/>
          <w:color w:val="auto"/>
          <w:sz w:val="24"/>
          <w:szCs w:val="24"/>
          <w:highlight w:val="none"/>
        </w:rPr>
        <w:t>说明：</w:t>
      </w:r>
    </w:p>
    <w:p>
      <w:pPr>
        <w:spacing w:line="320" w:lineRule="exact"/>
        <w:ind w:firstLine="447" w:firstLineChars="212"/>
        <w:rPr>
          <w:b/>
          <w:bCs/>
          <w:color w:val="auto"/>
          <w:highlight w:val="none"/>
        </w:rPr>
      </w:pPr>
      <w:r>
        <w:rPr>
          <w:rFonts w:hint="eastAsia" w:cs="宋体"/>
          <w:b/>
          <w:bCs/>
          <w:color w:val="auto"/>
          <w:highlight w:val="none"/>
        </w:rPr>
        <w:t>（</w:t>
      </w:r>
      <w:r>
        <w:rPr>
          <w:rFonts w:cs="宋体"/>
          <w:b/>
          <w:bCs/>
          <w:color w:val="auto"/>
          <w:highlight w:val="none"/>
        </w:rPr>
        <w:t>1</w:t>
      </w:r>
      <w:r>
        <w:rPr>
          <w:rFonts w:hint="eastAsia" w:cs="宋体"/>
          <w:b/>
          <w:bCs/>
          <w:color w:val="auto"/>
          <w:highlight w:val="none"/>
        </w:rPr>
        <w:t>）若采用电汇，投标人应在投标文件递交截止之前，将</w:t>
      </w:r>
      <w:r>
        <w:rPr>
          <w:rFonts w:hint="eastAsia" w:cs="宋体"/>
          <w:b/>
          <w:bCs/>
          <w:color w:val="auto"/>
          <w:highlight w:val="none"/>
          <w:u w:val="single"/>
        </w:rPr>
        <w:t>投标保证金由投标人的</w:t>
      </w:r>
      <w:r>
        <w:rPr>
          <w:rFonts w:hint="eastAsia" w:cs="宋体"/>
          <w:b/>
          <w:bCs/>
          <w:color w:val="auto"/>
          <w:sz w:val="24"/>
          <w:szCs w:val="24"/>
          <w:highlight w:val="none"/>
          <w:u w:val="single"/>
        </w:rPr>
        <w:t>基本账户</w:t>
      </w:r>
      <w:r>
        <w:rPr>
          <w:rFonts w:hint="eastAsia" w:cs="宋体"/>
          <w:b/>
          <w:bCs/>
          <w:color w:val="auto"/>
          <w:highlight w:val="none"/>
          <w:u w:val="single"/>
        </w:rPr>
        <w:t>一次性汇入招标人指定账户</w:t>
      </w:r>
      <w:r>
        <w:rPr>
          <w:rFonts w:hint="eastAsia" w:cs="宋体"/>
          <w:b/>
          <w:bCs/>
          <w:color w:val="auto"/>
          <w:highlight w:val="none"/>
        </w:rPr>
        <w:t>，否则视为投标保证金无效。</w:t>
      </w:r>
    </w:p>
    <w:p>
      <w:pPr>
        <w:spacing w:line="400" w:lineRule="exact"/>
        <w:ind w:firstLine="447" w:firstLineChars="212"/>
        <w:rPr>
          <w:b/>
          <w:bCs/>
          <w:color w:val="auto"/>
          <w:highlight w:val="none"/>
          <w:u w:val="single"/>
        </w:rPr>
      </w:pPr>
      <w:r>
        <w:rPr>
          <w:rFonts w:hint="eastAsia" w:cs="宋体"/>
          <w:b/>
          <w:bCs/>
          <w:color w:val="auto"/>
          <w:highlight w:val="none"/>
        </w:rPr>
        <w:t>（</w:t>
      </w:r>
      <w:r>
        <w:rPr>
          <w:rFonts w:cs="宋体"/>
          <w:b/>
          <w:bCs/>
          <w:color w:val="auto"/>
          <w:highlight w:val="none"/>
        </w:rPr>
        <w:t>2</w:t>
      </w:r>
      <w:r>
        <w:rPr>
          <w:rFonts w:hint="eastAsia" w:cs="宋体"/>
          <w:b/>
          <w:bCs/>
          <w:color w:val="auto"/>
          <w:highlight w:val="none"/>
        </w:rPr>
        <w:t>）若采用银行汇票或银行本票（若投标人基本开户行在南通，则可递交银行本票），投标人应在投标文件递交截止时间之前，将银行汇票或银行本票递交给招标代理，</w:t>
      </w:r>
      <w:r>
        <w:rPr>
          <w:rFonts w:hint="eastAsia" w:cs="宋体"/>
          <w:b/>
          <w:bCs/>
          <w:color w:val="auto"/>
          <w:highlight w:val="none"/>
          <w:u w:val="single"/>
        </w:rPr>
        <w:t>且投标保证金必须由投标人的</w:t>
      </w:r>
      <w:r>
        <w:rPr>
          <w:rFonts w:hint="eastAsia" w:cs="宋体"/>
          <w:b/>
          <w:bCs/>
          <w:color w:val="auto"/>
          <w:sz w:val="24"/>
          <w:szCs w:val="24"/>
          <w:highlight w:val="none"/>
          <w:u w:val="single"/>
        </w:rPr>
        <w:t>基本账户</w:t>
      </w:r>
      <w:r>
        <w:rPr>
          <w:rFonts w:hint="eastAsia" w:cs="宋体"/>
          <w:b/>
          <w:bCs/>
          <w:color w:val="auto"/>
          <w:highlight w:val="none"/>
          <w:u w:val="single"/>
        </w:rPr>
        <w:t>汇出</w:t>
      </w:r>
      <w:r>
        <w:rPr>
          <w:rFonts w:cs="宋体"/>
          <w:b/>
          <w:bCs/>
          <w:color w:val="auto"/>
          <w:highlight w:val="none"/>
          <w:u w:val="single"/>
        </w:rPr>
        <w:t>,</w:t>
      </w:r>
      <w:r>
        <w:rPr>
          <w:rFonts w:hint="eastAsia" w:cs="宋体"/>
          <w:b/>
          <w:bCs/>
          <w:color w:val="auto"/>
          <w:highlight w:val="none"/>
          <w:u w:val="single"/>
        </w:rPr>
        <w:t>否则视为投标保证金无效。（采用银行本票的，必须同时递交银行本票申请单的复印件）</w:t>
      </w:r>
    </w:p>
    <w:p>
      <w:pPr>
        <w:spacing w:line="400" w:lineRule="exact"/>
        <w:ind w:firstLine="447" w:firstLineChars="212"/>
        <w:rPr>
          <w:b/>
          <w:bCs/>
          <w:color w:val="auto"/>
          <w:highlight w:val="none"/>
          <w:u w:val="single"/>
        </w:rPr>
      </w:pPr>
    </w:p>
    <w:p>
      <w:pPr>
        <w:spacing w:line="400" w:lineRule="exact"/>
        <w:ind w:firstLine="422" w:firstLineChars="200"/>
        <w:rPr>
          <w:b/>
          <w:bCs/>
          <w:color w:val="auto"/>
          <w:highlight w:val="none"/>
        </w:rPr>
      </w:pPr>
    </w:p>
    <w:p>
      <w:pPr>
        <w:widowControl/>
        <w:jc w:val="left"/>
        <w:rPr>
          <w:b/>
          <w:bCs/>
          <w:color w:val="auto"/>
          <w:highlight w:val="none"/>
        </w:rPr>
      </w:pPr>
      <w:r>
        <w:rPr>
          <w:b/>
          <w:bCs/>
          <w:color w:val="auto"/>
          <w:highlight w:val="none"/>
        </w:rPr>
        <w:br w:type="page"/>
      </w:r>
    </w:p>
    <w:p>
      <w:pPr>
        <w:spacing w:line="400" w:lineRule="exact"/>
        <w:ind w:firstLine="422" w:firstLineChars="200"/>
        <w:rPr>
          <w:b/>
          <w:bCs/>
          <w:color w:val="auto"/>
          <w:highlight w:val="none"/>
        </w:rPr>
      </w:pPr>
      <w:r>
        <w:rPr>
          <w:rFonts w:hint="eastAsia" w:cs="黑体"/>
          <w:b/>
          <w:bCs/>
          <w:color w:val="auto"/>
          <w:highlight w:val="none"/>
        </w:rPr>
        <w:t>银行保函格式如下：</w:t>
      </w:r>
    </w:p>
    <w:p>
      <w:pPr>
        <w:spacing w:line="400" w:lineRule="exact"/>
        <w:ind w:firstLine="480" w:firstLineChars="200"/>
        <w:rPr>
          <w:color w:val="auto"/>
          <w:sz w:val="24"/>
          <w:szCs w:val="24"/>
          <w:highlight w:val="none"/>
        </w:rPr>
      </w:pPr>
    </w:p>
    <w:p>
      <w:pPr>
        <w:spacing w:line="400" w:lineRule="exact"/>
        <w:ind w:firstLine="480" w:firstLineChars="200"/>
        <w:rPr>
          <w:color w:val="auto"/>
          <w:sz w:val="24"/>
          <w:szCs w:val="24"/>
          <w:highlight w:val="none"/>
        </w:rPr>
      </w:pPr>
    </w:p>
    <w:p>
      <w:pPr>
        <w:spacing w:line="400" w:lineRule="exact"/>
        <w:rPr>
          <w:color w:val="auto"/>
          <w:sz w:val="24"/>
          <w:szCs w:val="24"/>
          <w:highlight w:val="none"/>
          <w:u w:val="single"/>
        </w:rPr>
      </w:pPr>
      <w:r>
        <w:rPr>
          <w:rFonts w:hint="eastAsia" w:cs="宋体"/>
          <w:color w:val="auto"/>
          <w:sz w:val="24"/>
          <w:szCs w:val="24"/>
          <w:highlight w:val="none"/>
          <w:u w:val="single"/>
        </w:rPr>
        <w:t>（招标人名称）：</w:t>
      </w:r>
    </w:p>
    <w:p>
      <w:pPr>
        <w:spacing w:line="400" w:lineRule="exact"/>
        <w:rPr>
          <w:color w:val="auto"/>
          <w:sz w:val="24"/>
          <w:szCs w:val="24"/>
          <w:highlight w:val="none"/>
        </w:rPr>
      </w:pPr>
    </w:p>
    <w:p>
      <w:pPr>
        <w:spacing w:line="400" w:lineRule="exact"/>
        <w:ind w:firstLine="480" w:firstLineChars="200"/>
        <w:rPr>
          <w:color w:val="auto"/>
          <w:sz w:val="24"/>
          <w:szCs w:val="24"/>
          <w:highlight w:val="none"/>
        </w:rPr>
      </w:pPr>
      <w:r>
        <w:rPr>
          <w:rFonts w:hint="eastAsia" w:cs="宋体"/>
          <w:color w:val="auto"/>
          <w:sz w:val="24"/>
          <w:szCs w:val="24"/>
          <w:highlight w:val="none"/>
        </w:rPr>
        <w:t>鉴于</w:t>
      </w:r>
      <w:r>
        <w:rPr>
          <w:rFonts w:hint="eastAsia" w:cs="宋体"/>
          <w:color w:val="auto"/>
          <w:sz w:val="24"/>
          <w:szCs w:val="24"/>
          <w:highlight w:val="none"/>
          <w:u w:val="single"/>
        </w:rPr>
        <w:t>（投标人名称）（以下称“投标人”）</w:t>
      </w:r>
      <w:r>
        <w:rPr>
          <w:rFonts w:hint="eastAsia" w:cs="宋体"/>
          <w:color w:val="auto"/>
          <w:sz w:val="24"/>
          <w:szCs w:val="24"/>
          <w:highlight w:val="none"/>
        </w:rPr>
        <w:t>于年月日参加</w:t>
      </w:r>
      <w:r>
        <w:rPr>
          <w:rFonts w:hint="eastAsia"/>
          <w:color w:val="auto"/>
          <w:sz w:val="24"/>
          <w:szCs w:val="24"/>
          <w:highlight w:val="none"/>
        </w:rPr>
        <w:t>东灶港站物流配套项目甲供土方运输项目</w:t>
      </w:r>
      <w:r>
        <w:rPr>
          <w:rFonts w:hint="eastAsia"/>
          <w:color w:val="auto"/>
          <w:sz w:val="24"/>
          <w:szCs w:val="24"/>
          <w:highlight w:val="none"/>
          <w:u w:val="single"/>
        </w:rPr>
        <w:t>2021TFYS</w:t>
      </w:r>
      <w:r>
        <w:rPr>
          <w:rFonts w:hint="eastAsia" w:cs="宋体"/>
          <w:color w:val="auto"/>
          <w:sz w:val="24"/>
          <w:szCs w:val="24"/>
          <w:highlight w:val="none"/>
          <w:u w:val="single"/>
        </w:rPr>
        <w:t>标段</w:t>
      </w:r>
      <w:r>
        <w:rPr>
          <w:rFonts w:hint="eastAsia" w:cs="宋体"/>
          <w:color w:val="auto"/>
          <w:sz w:val="24"/>
          <w:szCs w:val="24"/>
          <w:highlight w:val="none"/>
        </w:rPr>
        <w:t>的投标，</w:t>
      </w:r>
      <w:r>
        <w:rPr>
          <w:rFonts w:hint="eastAsia" w:cs="宋体"/>
          <w:color w:val="auto"/>
          <w:sz w:val="24"/>
          <w:szCs w:val="24"/>
          <w:highlight w:val="none"/>
          <w:u w:val="single"/>
        </w:rPr>
        <w:t>（担保人名称，以下简称“我方”）</w:t>
      </w:r>
      <w:r>
        <w:rPr>
          <w:rFonts w:hint="eastAsia" w:cs="宋体"/>
          <w:color w:val="auto"/>
          <w:sz w:val="24"/>
          <w:szCs w:val="24"/>
          <w:highlight w:val="none"/>
        </w:rPr>
        <w:t>无条件地、不可撤销地保证：若投标人在投标有效期内撤销投标文件，中标后无正当理由不与招标人订立合同，在签订合同时向招标人提出附加条件，不按照招标文件要求提交履约保证金，或发生招标文件明确规定可以不予退还投标保证金的其他情形，我方承担保证责任。收到你方书面通知后，我方在</w:t>
      </w:r>
      <w:r>
        <w:rPr>
          <w:rFonts w:cs="宋体"/>
          <w:color w:val="auto"/>
          <w:sz w:val="24"/>
          <w:szCs w:val="24"/>
          <w:highlight w:val="none"/>
        </w:rPr>
        <w:t xml:space="preserve"> 7 </w:t>
      </w:r>
      <w:r>
        <w:rPr>
          <w:rFonts w:hint="eastAsia" w:cs="宋体"/>
          <w:color w:val="auto"/>
          <w:sz w:val="24"/>
          <w:szCs w:val="24"/>
          <w:highlight w:val="none"/>
        </w:rPr>
        <w:t>日内向你方无条件支付人民币</w:t>
      </w:r>
      <w:r>
        <w:rPr>
          <w:rFonts w:hint="eastAsia" w:cs="宋体"/>
          <w:color w:val="auto"/>
          <w:sz w:val="24"/>
          <w:szCs w:val="24"/>
          <w:highlight w:val="none"/>
          <w:u w:val="single"/>
        </w:rPr>
        <w:t>（大写）</w:t>
      </w:r>
      <w:r>
        <w:rPr>
          <w:rFonts w:hint="eastAsia" w:cs="宋体"/>
          <w:color w:val="auto"/>
          <w:sz w:val="24"/>
          <w:szCs w:val="24"/>
          <w:highlight w:val="none"/>
        </w:rPr>
        <w:t>元。</w:t>
      </w:r>
    </w:p>
    <w:p>
      <w:pPr>
        <w:spacing w:line="400" w:lineRule="exact"/>
        <w:ind w:firstLine="480" w:firstLineChars="200"/>
        <w:rPr>
          <w:color w:val="auto"/>
          <w:sz w:val="24"/>
          <w:szCs w:val="24"/>
          <w:highlight w:val="none"/>
        </w:rPr>
      </w:pPr>
      <w:r>
        <w:rPr>
          <w:rFonts w:hint="eastAsia" w:cs="宋体"/>
          <w:color w:val="auto"/>
          <w:sz w:val="24"/>
          <w:szCs w:val="24"/>
          <w:highlight w:val="none"/>
        </w:rPr>
        <w:t>本保函在投标有效期或经延长的投标有效期内保持有效。要求我方承担保证责任的通知应在上述期限内送达我方。你方延长投标有效期的决定，应通知我方。</w:t>
      </w:r>
    </w:p>
    <w:p>
      <w:pPr>
        <w:rPr>
          <w:color w:val="auto"/>
          <w:sz w:val="24"/>
          <w:szCs w:val="24"/>
          <w:highlight w:val="none"/>
        </w:rPr>
      </w:pPr>
    </w:p>
    <w:p>
      <w:pPr>
        <w:rPr>
          <w:color w:val="auto"/>
          <w:sz w:val="24"/>
          <w:szCs w:val="24"/>
          <w:highlight w:val="none"/>
        </w:rPr>
      </w:pPr>
    </w:p>
    <w:p>
      <w:pPr>
        <w:spacing w:line="360" w:lineRule="auto"/>
        <w:rPr>
          <w:color w:val="auto"/>
          <w:sz w:val="24"/>
          <w:szCs w:val="24"/>
          <w:highlight w:val="none"/>
          <w:u w:val="single"/>
        </w:rPr>
      </w:pPr>
      <w:r>
        <w:rPr>
          <w:rFonts w:hint="eastAsia" w:cs="宋体"/>
          <w:color w:val="auto"/>
          <w:sz w:val="24"/>
          <w:szCs w:val="24"/>
          <w:highlight w:val="none"/>
        </w:rPr>
        <w:t>担保人名称：</w:t>
      </w:r>
      <w:r>
        <w:rPr>
          <w:rFonts w:hint="eastAsia" w:cs="宋体"/>
          <w:color w:val="auto"/>
          <w:sz w:val="24"/>
          <w:szCs w:val="24"/>
          <w:highlight w:val="none"/>
          <w:u w:val="single"/>
        </w:rPr>
        <w:t>（盖单位章）</w:t>
      </w:r>
    </w:p>
    <w:p>
      <w:pPr>
        <w:spacing w:line="360" w:lineRule="auto"/>
        <w:rPr>
          <w:color w:val="auto"/>
          <w:sz w:val="24"/>
          <w:szCs w:val="24"/>
          <w:highlight w:val="none"/>
          <w:u w:val="single"/>
        </w:rPr>
      </w:pPr>
      <w:r>
        <w:rPr>
          <w:rFonts w:hint="eastAsia" w:cs="宋体"/>
          <w:color w:val="auto"/>
          <w:sz w:val="24"/>
          <w:szCs w:val="24"/>
          <w:highlight w:val="none"/>
        </w:rPr>
        <w:t>法定代表人或其委托代理人：</w:t>
      </w:r>
      <w:r>
        <w:rPr>
          <w:rFonts w:hint="eastAsia" w:cs="宋体"/>
          <w:color w:val="auto"/>
          <w:sz w:val="24"/>
          <w:szCs w:val="24"/>
          <w:highlight w:val="none"/>
          <w:u w:val="single"/>
        </w:rPr>
        <w:t>（签字）</w:t>
      </w:r>
    </w:p>
    <w:p>
      <w:pPr>
        <w:spacing w:line="360" w:lineRule="auto"/>
        <w:rPr>
          <w:color w:val="auto"/>
          <w:sz w:val="24"/>
          <w:szCs w:val="24"/>
          <w:highlight w:val="none"/>
          <w:u w:val="single"/>
        </w:rPr>
      </w:pPr>
      <w:r>
        <w:rPr>
          <w:rFonts w:hint="eastAsia" w:cs="宋体"/>
          <w:color w:val="auto"/>
          <w:sz w:val="24"/>
          <w:szCs w:val="24"/>
          <w:highlight w:val="none"/>
        </w:rPr>
        <w:t>地址：</w:t>
      </w:r>
    </w:p>
    <w:p>
      <w:pPr>
        <w:spacing w:line="360" w:lineRule="auto"/>
        <w:rPr>
          <w:color w:val="auto"/>
          <w:sz w:val="24"/>
          <w:szCs w:val="24"/>
          <w:highlight w:val="none"/>
          <w:u w:val="single"/>
        </w:rPr>
      </w:pPr>
      <w:r>
        <w:rPr>
          <w:rFonts w:hint="eastAsia" w:cs="宋体"/>
          <w:color w:val="auto"/>
          <w:sz w:val="24"/>
          <w:szCs w:val="24"/>
          <w:highlight w:val="none"/>
        </w:rPr>
        <w:t>邮政编码：</w:t>
      </w:r>
    </w:p>
    <w:p>
      <w:pPr>
        <w:spacing w:line="360" w:lineRule="auto"/>
        <w:rPr>
          <w:color w:val="auto"/>
          <w:sz w:val="24"/>
          <w:szCs w:val="24"/>
          <w:highlight w:val="none"/>
        </w:rPr>
      </w:pPr>
      <w:r>
        <w:rPr>
          <w:rFonts w:hint="eastAsia" w:cs="宋体"/>
          <w:color w:val="auto"/>
          <w:sz w:val="24"/>
          <w:szCs w:val="24"/>
          <w:highlight w:val="none"/>
        </w:rPr>
        <w:t>电话：</w:t>
      </w:r>
    </w:p>
    <w:p>
      <w:pPr>
        <w:spacing w:line="360" w:lineRule="auto"/>
        <w:rPr>
          <w:color w:val="auto"/>
          <w:sz w:val="24"/>
          <w:szCs w:val="24"/>
          <w:highlight w:val="none"/>
        </w:rPr>
      </w:pPr>
      <w:r>
        <w:rPr>
          <w:rFonts w:hint="eastAsia" w:cs="宋体"/>
          <w:color w:val="auto"/>
          <w:sz w:val="24"/>
          <w:szCs w:val="24"/>
          <w:highlight w:val="none"/>
        </w:rPr>
        <w:t>传真：</w:t>
      </w:r>
    </w:p>
    <w:p>
      <w:pPr>
        <w:rPr>
          <w:color w:val="auto"/>
          <w:sz w:val="24"/>
          <w:szCs w:val="24"/>
          <w:highlight w:val="none"/>
        </w:rPr>
      </w:pPr>
    </w:p>
    <w:p>
      <w:pPr>
        <w:ind w:firstLine="240" w:firstLineChars="100"/>
        <w:rPr>
          <w:color w:val="auto"/>
          <w:sz w:val="24"/>
          <w:szCs w:val="24"/>
          <w:highlight w:val="none"/>
        </w:rPr>
      </w:pPr>
      <w:r>
        <w:rPr>
          <w:rFonts w:hint="eastAsia" w:cs="宋体"/>
          <w:color w:val="auto"/>
          <w:sz w:val="24"/>
          <w:szCs w:val="24"/>
          <w:highlight w:val="none"/>
        </w:rPr>
        <w:t>年月日</w:t>
      </w:r>
    </w:p>
    <w:p>
      <w:pPr>
        <w:rPr>
          <w:rFonts w:cs="黑体"/>
          <w:color w:val="auto"/>
          <w:sz w:val="44"/>
          <w:szCs w:val="44"/>
          <w:highlight w:val="none"/>
        </w:rPr>
      </w:pPr>
      <w:r>
        <w:rPr>
          <w:color w:val="auto"/>
          <w:highlight w:val="none"/>
        </w:rPr>
        <w:br w:type="page"/>
      </w:r>
    </w:p>
    <w:p>
      <w:pPr>
        <w:widowControl/>
        <w:tabs>
          <w:tab w:val="left" w:pos="20"/>
        </w:tabs>
        <w:jc w:val="center"/>
        <w:rPr>
          <w:rFonts w:cs="黑体"/>
          <w:color w:val="auto"/>
          <w:sz w:val="44"/>
          <w:szCs w:val="44"/>
          <w:highlight w:val="none"/>
        </w:rPr>
      </w:pPr>
      <w:r>
        <w:rPr>
          <w:rFonts w:hint="eastAsia" w:cs="黑体"/>
          <w:color w:val="auto"/>
          <w:sz w:val="44"/>
          <w:szCs w:val="44"/>
          <w:highlight w:val="none"/>
        </w:rPr>
        <w:t>四、施工组织设计</w:t>
      </w:r>
    </w:p>
    <w:p>
      <w:pPr>
        <w:widowControl/>
        <w:tabs>
          <w:tab w:val="left" w:pos="20"/>
        </w:tabs>
        <w:jc w:val="center"/>
        <w:rPr>
          <w:rFonts w:cs="黑体"/>
          <w:color w:val="auto"/>
          <w:sz w:val="44"/>
          <w:szCs w:val="44"/>
          <w:highlight w:val="none"/>
        </w:rPr>
      </w:pPr>
    </w:p>
    <w:p>
      <w:pPr>
        <w:widowControl/>
        <w:tabs>
          <w:tab w:val="left" w:pos="20"/>
        </w:tabs>
        <w:jc w:val="center"/>
        <w:rPr>
          <w:color w:val="auto"/>
          <w:highlight w:val="none"/>
        </w:rPr>
      </w:pPr>
      <w:r>
        <w:rPr>
          <w:rFonts w:hint="eastAsia"/>
          <w:color w:val="auto"/>
          <w:highlight w:val="none"/>
        </w:rPr>
        <w:t>请根据打分点自行编制。</w:t>
      </w:r>
    </w:p>
    <w:p>
      <w:pPr>
        <w:widowControl/>
        <w:tabs>
          <w:tab w:val="left" w:pos="20"/>
        </w:tabs>
        <w:jc w:val="center"/>
        <w:rPr>
          <w:rFonts w:cs="黑体"/>
          <w:color w:val="auto"/>
          <w:sz w:val="44"/>
          <w:szCs w:val="44"/>
          <w:highlight w:val="none"/>
        </w:rPr>
      </w:pPr>
    </w:p>
    <w:p>
      <w:pPr>
        <w:widowControl/>
        <w:jc w:val="left"/>
        <w:rPr>
          <w:rFonts w:cs="黑体"/>
          <w:color w:val="auto"/>
          <w:sz w:val="44"/>
          <w:szCs w:val="44"/>
          <w:highlight w:val="none"/>
        </w:rPr>
      </w:pPr>
      <w:r>
        <w:rPr>
          <w:rFonts w:cs="黑体"/>
          <w:color w:val="auto"/>
          <w:sz w:val="44"/>
          <w:szCs w:val="44"/>
          <w:highlight w:val="none"/>
        </w:rPr>
        <w:br w:type="page"/>
      </w:r>
    </w:p>
    <w:p>
      <w:pPr>
        <w:spacing w:before="120" w:beforeLines="50" w:after="120" w:afterLines="50"/>
        <w:jc w:val="center"/>
        <w:rPr>
          <w:color w:val="auto"/>
          <w:sz w:val="44"/>
          <w:szCs w:val="44"/>
          <w:highlight w:val="none"/>
        </w:rPr>
      </w:pPr>
      <w:r>
        <w:rPr>
          <w:rFonts w:hint="eastAsia" w:cs="黑体"/>
          <w:color w:val="auto"/>
          <w:sz w:val="44"/>
          <w:szCs w:val="44"/>
          <w:highlight w:val="none"/>
        </w:rPr>
        <w:t>五、项目管理机构</w:t>
      </w:r>
    </w:p>
    <w:tbl>
      <w:tblPr>
        <w:tblStyle w:val="5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00" w:type="pct"/>
          </w:tcPr>
          <w:p>
            <w:pPr>
              <w:rPr>
                <w:color w:val="auto"/>
                <w:sz w:val="24"/>
                <w:szCs w:val="24"/>
                <w:highlight w:val="none"/>
              </w:rPr>
            </w:pPr>
            <w:r>
              <w:rPr>
                <w:rFonts w:hint="eastAsia" w:cs="宋体"/>
                <w:color w:val="auto"/>
                <w:sz w:val="24"/>
                <w:szCs w:val="24"/>
                <w:highlight w:val="none"/>
              </w:rPr>
              <w:t>拟为承包本标段工程设立的组织机构及框图方式表示。</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Pr>
          <w:p>
            <w:pPr>
              <w:rPr>
                <w:color w:val="auto"/>
                <w:highlight w:val="none"/>
              </w:rPr>
            </w:pPr>
            <w:r>
              <w:rPr>
                <w:rFonts w:hint="eastAsia" w:cs="宋体"/>
                <w:color w:val="auto"/>
                <w:highlight w:val="none"/>
              </w:rPr>
              <w:t>说明：</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tc>
      </w:tr>
    </w:tbl>
    <w:p>
      <w:pPr>
        <w:spacing w:line="400" w:lineRule="exact"/>
        <w:rPr>
          <w:b/>
          <w:bCs/>
          <w:color w:val="auto"/>
          <w:sz w:val="30"/>
          <w:szCs w:val="30"/>
          <w:highlight w:val="none"/>
        </w:rPr>
      </w:pPr>
    </w:p>
    <w:p>
      <w:pPr>
        <w:rPr>
          <w:color w:val="auto"/>
          <w:highlight w:val="none"/>
        </w:rPr>
        <w:sectPr>
          <w:footerReference r:id="rId7" w:type="default"/>
          <w:pgSz w:w="11906" w:h="16838"/>
          <w:pgMar w:top="1389" w:right="1474" w:bottom="1389" w:left="1644" w:header="851" w:footer="992" w:gutter="0"/>
          <w:pgNumType w:fmt="decimal"/>
          <w:cols w:space="720" w:num="1"/>
          <w:docGrid w:linePitch="312" w:charSpace="0"/>
        </w:sectPr>
      </w:pPr>
    </w:p>
    <w:p>
      <w:pPr>
        <w:pStyle w:val="3"/>
        <w:jc w:val="center"/>
        <w:rPr>
          <w:b/>
          <w:bCs/>
          <w:color w:val="auto"/>
          <w:sz w:val="30"/>
          <w:szCs w:val="30"/>
          <w:highlight w:val="none"/>
        </w:rPr>
      </w:pPr>
      <w:r>
        <w:rPr>
          <w:rFonts w:hint="eastAsia" w:cs="宋体"/>
          <w:b/>
          <w:bCs/>
          <w:color w:val="auto"/>
          <w:sz w:val="30"/>
          <w:szCs w:val="30"/>
          <w:highlight w:val="none"/>
        </w:rPr>
        <w:t>六、拟分包项目情况表</w:t>
      </w:r>
    </w:p>
    <w:tbl>
      <w:tblPr>
        <w:tblStyle w:val="5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5"/>
        <w:gridCol w:w="2398"/>
        <w:gridCol w:w="2396"/>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jc w:val="center"/>
              <w:rPr>
                <w:color w:val="auto"/>
                <w:highlight w:val="none"/>
              </w:rPr>
            </w:pPr>
            <w:r>
              <w:rPr>
                <w:rFonts w:hint="eastAsia" w:cs="宋体"/>
                <w:color w:val="auto"/>
                <w:highlight w:val="none"/>
              </w:rPr>
              <w:t>分包的工程项目</w:t>
            </w:r>
          </w:p>
        </w:tc>
        <w:tc>
          <w:tcPr>
            <w:tcW w:w="1282" w:type="pct"/>
            <w:vAlign w:val="center"/>
          </w:tcPr>
          <w:p>
            <w:pPr>
              <w:jc w:val="center"/>
              <w:rPr>
                <w:color w:val="auto"/>
                <w:highlight w:val="none"/>
              </w:rPr>
            </w:pPr>
            <w:r>
              <w:rPr>
                <w:rFonts w:hint="eastAsia" w:cs="宋体"/>
                <w:color w:val="auto"/>
                <w:highlight w:val="none"/>
              </w:rPr>
              <w:t>主要工程内容</w:t>
            </w:r>
          </w:p>
        </w:tc>
        <w:tc>
          <w:tcPr>
            <w:tcW w:w="1282" w:type="pct"/>
            <w:vAlign w:val="center"/>
          </w:tcPr>
          <w:p>
            <w:pPr>
              <w:jc w:val="center"/>
              <w:rPr>
                <w:color w:val="auto"/>
                <w:highlight w:val="none"/>
              </w:rPr>
            </w:pPr>
            <w:r>
              <w:rPr>
                <w:rFonts w:hint="eastAsia" w:cs="宋体"/>
                <w:color w:val="auto"/>
                <w:highlight w:val="none"/>
              </w:rPr>
              <w:t>预计造价（万元）</w:t>
            </w:r>
          </w:p>
        </w:tc>
        <w:tc>
          <w:tcPr>
            <w:tcW w:w="1152" w:type="pct"/>
            <w:vMerge w:val="restart"/>
            <w:vAlign w:val="center"/>
          </w:tcPr>
          <w:p>
            <w:pPr>
              <w:widowControl/>
              <w:rPr>
                <w:color w:val="auto"/>
                <w:kern w:val="0"/>
                <w:highlight w:val="none"/>
              </w:rPr>
            </w:pPr>
            <w:r>
              <w:rPr>
                <w:rFonts w:hint="eastAsia" w:cs="宋体"/>
                <w:color w:val="auto"/>
                <w:kern w:val="0"/>
                <w:highlight w:val="none"/>
              </w:rPr>
              <w:t>注：若无分包计划，则投标人应在本表填写“无”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ind w:firstLine="840" w:firstLineChars="400"/>
              <w:rPr>
                <w:color w:val="auto"/>
                <w:kern w:val="0"/>
                <w:highlight w:val="none"/>
              </w:rPr>
            </w:pPr>
          </w:p>
        </w:tc>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152" w:type="pct"/>
            <w:vMerge w:val="continue"/>
            <w:vAlign w:val="center"/>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152" w:type="pct"/>
            <w:vMerge w:val="continue"/>
            <w:vAlign w:val="center"/>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152" w:type="pct"/>
            <w:vMerge w:val="continue"/>
            <w:vAlign w:val="center"/>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ind w:firstLine="315" w:firstLineChars="150"/>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widowControl/>
              <w:rPr>
                <w:color w:val="auto"/>
                <w:kern w:val="0"/>
                <w:highlight w:val="none"/>
              </w:rPr>
            </w:pPr>
          </w:p>
        </w:tc>
        <w:tc>
          <w:tcPr>
            <w:tcW w:w="1282" w:type="pct"/>
            <w:vAlign w:val="center"/>
          </w:tcPr>
          <w:p>
            <w:pPr>
              <w:widowControl/>
              <w:rPr>
                <w:color w:val="auto"/>
                <w:kern w:val="0"/>
                <w:highlight w:val="none"/>
              </w:rPr>
            </w:pPr>
          </w:p>
        </w:tc>
        <w:tc>
          <w:tcPr>
            <w:tcW w:w="1282" w:type="pct"/>
          </w:tcPr>
          <w:p>
            <w:pPr>
              <w:widowControl/>
              <w:rPr>
                <w:color w:val="auto"/>
                <w:kern w:val="0"/>
                <w:highlight w:val="none"/>
              </w:rPr>
            </w:pPr>
          </w:p>
        </w:tc>
        <w:tc>
          <w:tcPr>
            <w:tcW w:w="1152" w:type="pct"/>
            <w:vMerge w:val="continue"/>
          </w:tcPr>
          <w:p>
            <w:pPr>
              <w:widowControl/>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pct"/>
            <w:vAlign w:val="center"/>
          </w:tcPr>
          <w:p>
            <w:pPr>
              <w:pStyle w:val="3"/>
              <w:ind w:firstLine="602"/>
              <w:rPr>
                <w:b/>
                <w:bCs/>
                <w:color w:val="auto"/>
                <w:sz w:val="30"/>
                <w:szCs w:val="30"/>
                <w:highlight w:val="none"/>
              </w:rPr>
            </w:pPr>
          </w:p>
        </w:tc>
        <w:tc>
          <w:tcPr>
            <w:tcW w:w="1282" w:type="pct"/>
            <w:vAlign w:val="center"/>
          </w:tcPr>
          <w:p>
            <w:pPr>
              <w:pStyle w:val="3"/>
              <w:ind w:firstLine="602"/>
              <w:rPr>
                <w:b/>
                <w:bCs/>
                <w:color w:val="auto"/>
                <w:sz w:val="30"/>
                <w:szCs w:val="30"/>
                <w:highlight w:val="none"/>
              </w:rPr>
            </w:pP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65" w:type="pct"/>
            <w:gridSpan w:val="2"/>
            <w:vAlign w:val="center"/>
          </w:tcPr>
          <w:p>
            <w:pPr>
              <w:widowControl/>
              <w:rPr>
                <w:color w:val="auto"/>
                <w:kern w:val="0"/>
                <w:highlight w:val="none"/>
              </w:rPr>
            </w:pPr>
            <w:r>
              <w:rPr>
                <w:rFonts w:hint="eastAsia" w:cs="宋体"/>
                <w:color w:val="auto"/>
                <w:kern w:val="0"/>
                <w:highlight w:val="none"/>
              </w:rPr>
              <w:t>拟分包工程造价合计（万元）</w:t>
            </w:r>
          </w:p>
        </w:tc>
        <w:tc>
          <w:tcPr>
            <w:tcW w:w="1282" w:type="pct"/>
          </w:tcPr>
          <w:p>
            <w:pPr>
              <w:pStyle w:val="3"/>
              <w:ind w:firstLine="602"/>
              <w:rPr>
                <w:b/>
                <w:bCs/>
                <w:color w:val="auto"/>
                <w:sz w:val="30"/>
                <w:szCs w:val="30"/>
                <w:highlight w:val="none"/>
              </w:rPr>
            </w:pPr>
          </w:p>
        </w:tc>
        <w:tc>
          <w:tcPr>
            <w:tcW w:w="1152" w:type="pct"/>
            <w:vMerge w:val="continue"/>
          </w:tcPr>
          <w:p>
            <w:pPr>
              <w:pStyle w:val="3"/>
              <w:ind w:firstLine="602"/>
              <w:rPr>
                <w:b/>
                <w:bCs/>
                <w:color w:val="auto"/>
                <w:sz w:val="30"/>
                <w:szCs w:val="30"/>
                <w:highlight w:val="none"/>
              </w:rPr>
            </w:pPr>
          </w:p>
        </w:tc>
      </w:tr>
    </w:tbl>
    <w:p>
      <w:pPr>
        <w:pStyle w:val="172"/>
        <w:tabs>
          <w:tab w:val="left" w:pos="540"/>
        </w:tabs>
        <w:spacing w:line="360" w:lineRule="exact"/>
        <w:ind w:left="0" w:firstLine="472" w:firstLineChars="196"/>
        <w:rPr>
          <w:rFonts w:ascii="Times New Roman" w:hAnsi="Times New Roman"/>
          <w:b/>
          <w:bCs/>
          <w:color w:val="auto"/>
          <w:highlight w:val="none"/>
          <w:u w:val="single"/>
        </w:rPr>
      </w:pPr>
      <w:r>
        <w:rPr>
          <w:rFonts w:hint="eastAsia" w:ascii="Times New Roman" w:hAnsi="Times New Roman"/>
          <w:b/>
          <w:bCs/>
          <w:color w:val="auto"/>
          <w:highlight w:val="none"/>
          <w:u w:val="single"/>
        </w:rPr>
        <w:t>注：本表不可缺省；本项目不许分包。</w:t>
      </w:r>
    </w:p>
    <w:p>
      <w:pPr>
        <w:pStyle w:val="172"/>
        <w:tabs>
          <w:tab w:val="left" w:pos="540"/>
        </w:tabs>
        <w:spacing w:line="360" w:lineRule="exact"/>
        <w:ind w:left="0" w:firstLine="472" w:firstLineChars="196"/>
        <w:rPr>
          <w:rFonts w:ascii="Times New Roman" w:hAnsi="Times New Roman" w:cs="Times New Roman"/>
          <w:b/>
          <w:bCs/>
          <w:color w:val="auto"/>
          <w:highlight w:val="none"/>
          <w:u w:val="single"/>
        </w:rPr>
      </w:pPr>
    </w:p>
    <w:p>
      <w:pPr>
        <w:pStyle w:val="172"/>
        <w:tabs>
          <w:tab w:val="left" w:pos="540"/>
        </w:tabs>
        <w:spacing w:line="360" w:lineRule="exact"/>
        <w:ind w:left="0" w:firstLine="954" w:firstLineChars="396"/>
        <w:rPr>
          <w:rFonts w:ascii="Times New Roman" w:hAnsi="Times New Roman" w:cs="Times New Roman"/>
          <w:b/>
          <w:bCs/>
          <w:color w:val="auto"/>
          <w:highlight w:val="none"/>
          <w:u w:val="single"/>
        </w:rPr>
      </w:pPr>
    </w:p>
    <w:p>
      <w:pPr>
        <w:pStyle w:val="172"/>
        <w:tabs>
          <w:tab w:val="left" w:pos="540"/>
        </w:tabs>
        <w:spacing w:line="360" w:lineRule="exact"/>
        <w:ind w:left="0" w:firstLine="954" w:firstLineChars="396"/>
        <w:rPr>
          <w:rFonts w:ascii="Times New Roman" w:hAnsi="Times New Roman" w:cs="Times New Roman"/>
          <w:b/>
          <w:bCs/>
          <w:color w:val="auto"/>
          <w:highlight w:val="none"/>
          <w:u w:val="single"/>
        </w:rPr>
      </w:pPr>
    </w:p>
    <w:p>
      <w:pPr>
        <w:pStyle w:val="172"/>
        <w:tabs>
          <w:tab w:val="left" w:pos="540"/>
        </w:tabs>
        <w:spacing w:line="360" w:lineRule="exact"/>
        <w:ind w:left="0" w:firstLine="954" w:firstLineChars="396"/>
        <w:rPr>
          <w:rFonts w:ascii="Times New Roman" w:hAnsi="Times New Roman" w:cs="Times New Roman"/>
          <w:b/>
          <w:bCs/>
          <w:color w:val="auto"/>
          <w:highlight w:val="none"/>
          <w:u w:val="single"/>
        </w:rPr>
        <w:sectPr>
          <w:pgSz w:w="11906" w:h="16838"/>
          <w:pgMar w:top="1361" w:right="1304" w:bottom="1361" w:left="1474" w:header="851" w:footer="992" w:gutter="0"/>
          <w:pgNumType w:fmt="decimal"/>
          <w:cols w:space="720" w:num="1"/>
          <w:docGrid w:linePitch="312" w:charSpace="0"/>
        </w:sectPr>
      </w:pPr>
    </w:p>
    <w:p>
      <w:pPr>
        <w:pStyle w:val="3"/>
        <w:jc w:val="center"/>
        <w:rPr>
          <w:rFonts w:cs="宋体"/>
          <w:b/>
          <w:bCs/>
          <w:color w:val="auto"/>
          <w:sz w:val="30"/>
          <w:szCs w:val="30"/>
          <w:highlight w:val="none"/>
        </w:rPr>
      </w:pPr>
      <w:r>
        <w:rPr>
          <w:rFonts w:hint="eastAsia" w:cs="宋体"/>
          <w:b/>
          <w:bCs/>
          <w:color w:val="auto"/>
          <w:sz w:val="30"/>
          <w:szCs w:val="30"/>
          <w:highlight w:val="none"/>
        </w:rPr>
        <w:t>七、资格审查资料及打分点证明材料</w:t>
      </w:r>
    </w:p>
    <w:p>
      <w:pPr>
        <w:spacing w:line="360" w:lineRule="auto"/>
        <w:ind w:firstLine="422" w:firstLineChars="200"/>
        <w:jc w:val="left"/>
        <w:rPr>
          <w:rFonts w:ascii="宋体" w:hAnsi="宋体" w:cs="宋体"/>
          <w:b/>
          <w:color w:val="auto"/>
          <w:highlight w:val="none"/>
        </w:rPr>
      </w:pPr>
      <w:bookmarkStart w:id="111" w:name="_Toc3957"/>
      <w:bookmarkStart w:id="112" w:name="_Toc232821999"/>
      <w:bookmarkStart w:id="113" w:name="_Toc6300"/>
    </w:p>
    <w:p>
      <w:pPr>
        <w:spacing w:line="360" w:lineRule="auto"/>
        <w:ind w:firstLine="422" w:firstLineChars="200"/>
        <w:jc w:val="left"/>
        <w:rPr>
          <w:rFonts w:hint="eastAsia" w:ascii="宋体" w:hAnsi="宋体" w:eastAsia="宋体" w:cs="宋体"/>
          <w:b/>
          <w:color w:val="auto"/>
          <w:highlight w:val="none"/>
          <w:lang w:eastAsia="zh-CN"/>
        </w:rPr>
      </w:pPr>
      <w:r>
        <w:rPr>
          <w:rFonts w:hint="eastAsia" w:ascii="宋体" w:hAnsi="宋体" w:cs="宋体"/>
          <w:b/>
          <w:color w:val="auto"/>
          <w:highlight w:val="none"/>
        </w:rPr>
        <w:t>资格条件及打分点所涉内容及其证明材料复印件并加盖单位公章。</w:t>
      </w:r>
    </w:p>
    <w:p>
      <w:pPr>
        <w:spacing w:line="360" w:lineRule="auto"/>
        <w:ind w:firstLine="422" w:firstLineChars="200"/>
        <w:jc w:val="left"/>
        <w:rPr>
          <w:rFonts w:ascii="宋体" w:hAnsi="宋体" w:cs="宋体"/>
          <w:b/>
          <w:color w:val="auto"/>
          <w:highlight w:val="none"/>
        </w:rPr>
      </w:pPr>
      <w:r>
        <w:rPr>
          <w:rFonts w:hint="eastAsia" w:ascii="宋体" w:hAnsi="宋体" w:cs="宋体"/>
          <w:b/>
          <w:color w:val="auto"/>
          <w:highlight w:val="none"/>
        </w:rPr>
        <w:t>上述证明材料如能再提供公路建设市场信用信息系统备案或公共资源交易中心网站投标人主体备案的网页截图的，则无须提供原件核查，否则，需在投标时随身携带原件以备评标委员会核验（递交投标文件时原件可不上交，由递交投标文件的负责人随身携带）。</w:t>
      </w:r>
    </w:p>
    <w:p>
      <w:pPr>
        <w:rPr>
          <w:rFonts w:cs="宋体"/>
          <w:b/>
          <w:bCs/>
          <w:color w:val="auto"/>
          <w:sz w:val="30"/>
          <w:szCs w:val="30"/>
          <w:highlight w:val="none"/>
        </w:rPr>
      </w:pPr>
      <w:r>
        <w:rPr>
          <w:rFonts w:hint="eastAsia" w:cs="宋体"/>
          <w:b/>
          <w:bCs/>
          <w:color w:val="auto"/>
          <w:sz w:val="30"/>
          <w:szCs w:val="30"/>
          <w:highlight w:val="none"/>
        </w:rPr>
        <w:br w:type="page"/>
      </w:r>
    </w:p>
    <w:p>
      <w:pPr>
        <w:pStyle w:val="3"/>
        <w:jc w:val="center"/>
        <w:rPr>
          <w:rFonts w:cs="宋体"/>
          <w:b/>
          <w:bCs/>
          <w:color w:val="auto"/>
          <w:sz w:val="30"/>
          <w:szCs w:val="30"/>
          <w:highlight w:val="none"/>
        </w:rPr>
      </w:pPr>
      <w:r>
        <w:rPr>
          <w:rFonts w:hint="eastAsia" w:cs="宋体"/>
          <w:b/>
          <w:bCs/>
          <w:color w:val="auto"/>
          <w:sz w:val="30"/>
          <w:szCs w:val="30"/>
          <w:highlight w:val="none"/>
        </w:rPr>
        <w:t>八、不拖欠民工工资的承诺书</w:t>
      </w:r>
    </w:p>
    <w:p>
      <w:pPr>
        <w:jc w:val="center"/>
        <w:rPr>
          <w:rFonts w:eastAsia="黑体"/>
          <w:color w:val="auto"/>
          <w:sz w:val="28"/>
          <w:szCs w:val="28"/>
          <w:highlight w:val="none"/>
        </w:rPr>
      </w:pPr>
    </w:p>
    <w:p>
      <w:pPr>
        <w:spacing w:line="360" w:lineRule="auto"/>
        <w:rPr>
          <w:rFonts w:ascii="宋体"/>
          <w:color w:val="auto"/>
          <w:sz w:val="24"/>
          <w:highlight w:val="none"/>
        </w:rPr>
      </w:pPr>
    </w:p>
    <w:p>
      <w:pPr>
        <w:snapToGrid w:val="0"/>
        <w:spacing w:line="288" w:lineRule="auto"/>
        <w:rPr>
          <w:rFonts w:ascii="宋体"/>
          <w:color w:val="auto"/>
          <w:sz w:val="24"/>
          <w:highlight w:val="none"/>
        </w:rPr>
      </w:pPr>
      <w:r>
        <w:rPr>
          <w:rFonts w:hint="eastAsia" w:cs="宋体"/>
          <w:b/>
          <w:bCs/>
          <w:color w:val="auto"/>
          <w:sz w:val="24"/>
          <w:highlight w:val="none"/>
          <w:u w:val="single"/>
        </w:rPr>
        <w:t>南通洋吕铁路开发建设有限公司</w:t>
      </w:r>
      <w:r>
        <w:rPr>
          <w:rFonts w:hint="eastAsia" w:cs="宋体"/>
          <w:color w:val="auto"/>
          <w:sz w:val="24"/>
          <w:highlight w:val="none"/>
        </w:rPr>
        <w:t>：</w:t>
      </w:r>
      <w:r>
        <w:rPr>
          <w:rFonts w:ascii="宋体" w:hAnsi="宋体" w:cs="宋体"/>
          <w:color w:val="auto"/>
          <w:sz w:val="24"/>
          <w:highlight w:val="none"/>
        </w:rPr>
        <w:t xml:space="preserve"> </w:t>
      </w:r>
    </w:p>
    <w:p>
      <w:pPr>
        <w:snapToGrid w:val="0"/>
        <w:spacing w:line="288" w:lineRule="auto"/>
        <w:rPr>
          <w:rFonts w:ascii="宋体"/>
          <w:color w:val="auto"/>
          <w:sz w:val="24"/>
          <w:highlight w:val="none"/>
        </w:rPr>
      </w:pPr>
    </w:p>
    <w:p>
      <w:pPr>
        <w:snapToGrid w:val="0"/>
        <w:spacing w:line="360" w:lineRule="auto"/>
        <w:rPr>
          <w:rFonts w:ascii="宋体"/>
          <w:color w:val="auto"/>
          <w:sz w:val="24"/>
          <w:highlight w:val="none"/>
        </w:rPr>
      </w:pPr>
      <w:r>
        <w:rPr>
          <w:rFonts w:ascii="宋体" w:hAnsi="宋体" w:cs="宋体"/>
          <w:color w:val="auto"/>
          <w:sz w:val="24"/>
          <w:highlight w:val="none"/>
        </w:rPr>
        <w:t xml:space="preserve">    </w:t>
      </w:r>
      <w:r>
        <w:rPr>
          <w:rFonts w:hint="eastAsia" w:ascii="宋体" w:hAnsi="宋体" w:cs="宋体"/>
          <w:color w:val="auto"/>
          <w:sz w:val="24"/>
          <w:highlight w:val="none"/>
        </w:rPr>
        <w:t>为保护农民工的合法权益，不拖欠农民工工资，本人以</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（投标人全称</w:t>
      </w:r>
      <w:r>
        <w:rPr>
          <w:rFonts w:ascii="宋体" w:hAnsi="宋体" w:cs="宋体"/>
          <w:color w:val="auto"/>
          <w:sz w:val="24"/>
          <w:highlight w:val="none"/>
          <w:u w:val="single"/>
        </w:rPr>
        <w:t>)</w:t>
      </w:r>
      <w:r>
        <w:rPr>
          <w:rFonts w:hint="eastAsia" w:ascii="宋体" w:hAnsi="宋体" w:cs="宋体"/>
          <w:color w:val="auto"/>
          <w:sz w:val="24"/>
          <w:highlight w:val="none"/>
          <w:u w:val="single"/>
        </w:rPr>
        <w:t>　</w:t>
      </w:r>
      <w:r>
        <w:rPr>
          <w:rFonts w:hint="eastAsia" w:ascii="宋体" w:hAnsi="宋体" w:cs="宋体"/>
          <w:color w:val="auto"/>
          <w:sz w:val="24"/>
          <w:highlight w:val="none"/>
        </w:rPr>
        <w:t>法定代表人</w:t>
      </w:r>
      <w:r>
        <w:rPr>
          <w:rFonts w:ascii="宋体" w:hAnsi="宋体" w:cs="宋体"/>
          <w:color w:val="auto"/>
          <w:sz w:val="24"/>
          <w:highlight w:val="none"/>
        </w:rPr>
        <w:t>(</w:t>
      </w:r>
      <w:r>
        <w:rPr>
          <w:rFonts w:hint="eastAsia" w:ascii="宋体" w:hAnsi="宋体" w:cs="宋体"/>
          <w:color w:val="auto"/>
          <w:sz w:val="24"/>
          <w:highlight w:val="none"/>
        </w:rPr>
        <w:t>或其授权的代理人</w:t>
      </w:r>
      <w:r>
        <w:rPr>
          <w:rFonts w:ascii="宋体" w:hAnsi="宋体" w:cs="宋体"/>
          <w:color w:val="auto"/>
          <w:sz w:val="24"/>
          <w:highlight w:val="none"/>
        </w:rPr>
        <w:t>)</w:t>
      </w:r>
      <w:r>
        <w:rPr>
          <w:rFonts w:hint="eastAsia" w:ascii="宋体" w:hAnsi="宋体" w:cs="宋体"/>
          <w:color w:val="auto"/>
          <w:sz w:val="24"/>
          <w:highlight w:val="none"/>
        </w:rPr>
        <w:t>的资格，郑重承诺：</w:t>
      </w:r>
    </w:p>
    <w:p>
      <w:pPr>
        <w:snapToGrid w:val="0"/>
        <w:spacing w:line="360" w:lineRule="auto"/>
        <w:ind w:firstLine="480" w:firstLineChars="200"/>
        <w:rPr>
          <w:rFonts w:ascii="宋体"/>
          <w:color w:val="auto"/>
          <w:sz w:val="24"/>
          <w:highlight w:val="none"/>
        </w:rPr>
      </w:pPr>
      <w:r>
        <w:rPr>
          <w:rFonts w:hint="eastAsia" w:ascii="宋体" w:hAnsi="宋体" w:cs="宋体"/>
          <w:color w:val="auto"/>
          <w:sz w:val="24"/>
          <w:highlight w:val="none"/>
        </w:rPr>
        <w:t>本企业如果中标</w:t>
      </w:r>
      <w:r>
        <w:rPr>
          <w:rFonts w:hint="eastAsia" w:ascii="宋体" w:hAnsi="宋体" w:cs="宋体"/>
          <w:color w:val="auto"/>
          <w:sz w:val="24"/>
          <w:highlight w:val="none"/>
          <w:u w:val="single"/>
        </w:rPr>
        <w:t xml:space="preserve">                        </w:t>
      </w:r>
      <w:r>
        <w:rPr>
          <w:rFonts w:ascii="宋体" w:hAnsi="宋体" w:cs="宋体"/>
          <w:color w:val="auto"/>
          <w:sz w:val="24"/>
          <w:highlight w:val="none"/>
        </w:rPr>
        <w:t>项目</w:t>
      </w:r>
      <w:r>
        <w:rPr>
          <w:rFonts w:ascii="宋体" w:hAnsi="宋体" w:cs="宋体"/>
          <w:color w:val="auto"/>
          <w:sz w:val="24"/>
          <w:highlight w:val="none"/>
          <w:u w:val="single"/>
        </w:rPr>
        <w:t xml:space="preserve">        </w:t>
      </w:r>
      <w:r>
        <w:rPr>
          <w:rFonts w:hint="eastAsia" w:ascii="宋体" w:hAnsi="宋体" w:cs="宋体"/>
          <w:color w:val="auto"/>
          <w:sz w:val="24"/>
          <w:highlight w:val="none"/>
        </w:rPr>
        <w:t>标段，需要使用农民工时，将保证做到：</w:t>
      </w:r>
      <w:r>
        <w:rPr>
          <w:rFonts w:ascii="宋体" w:hAnsi="宋体" w:cs="宋体"/>
          <w:color w:val="auto"/>
          <w:sz w:val="24"/>
          <w:highlight w:val="none"/>
        </w:rPr>
        <w:t xml:space="preserve"> </w:t>
      </w:r>
    </w:p>
    <w:p>
      <w:pPr>
        <w:snapToGrid w:val="0"/>
        <w:spacing w:line="360" w:lineRule="auto"/>
        <w:ind w:firstLine="480" w:firstLineChars="200"/>
        <w:rPr>
          <w:rFonts w:ascii="宋体"/>
          <w:color w:val="auto"/>
          <w:sz w:val="24"/>
          <w:highlight w:val="none"/>
        </w:rPr>
      </w:pPr>
      <w:r>
        <w:rPr>
          <w:rFonts w:ascii="宋体" w:hAnsi="宋体" w:cs="宋体"/>
          <w:color w:val="auto"/>
          <w:sz w:val="24"/>
          <w:highlight w:val="none"/>
        </w:rPr>
        <w:t>1</w:t>
      </w:r>
      <w:r>
        <w:rPr>
          <w:rFonts w:hint="eastAsia" w:ascii="宋体" w:hAnsi="宋体" w:cs="宋体"/>
          <w:color w:val="auto"/>
          <w:sz w:val="24"/>
          <w:highlight w:val="none"/>
        </w:rPr>
        <w:t>．按照《劳动法》规定雇佣和使用农民工，工资将直接发放给农民工本人，严禁发放给“包工头”。</w:t>
      </w:r>
    </w:p>
    <w:p>
      <w:pPr>
        <w:snapToGrid w:val="0"/>
        <w:spacing w:line="360" w:lineRule="auto"/>
        <w:ind w:firstLine="480" w:firstLineChars="200"/>
        <w:rPr>
          <w:rFonts w:ascii="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．如果发生违反规定拖欠或克扣农民工工资行为，造成农民工上访，本公司愿意接受业主暂停我公司</w:t>
      </w:r>
      <w:r>
        <w:rPr>
          <w:rFonts w:ascii="宋体" w:hAnsi="宋体" w:cs="宋体"/>
          <w:color w:val="auto"/>
          <w:sz w:val="24"/>
          <w:highlight w:val="none"/>
        </w:rPr>
        <w:t>1</w:t>
      </w:r>
      <w:r>
        <w:rPr>
          <w:rFonts w:hint="eastAsia" w:ascii="宋体" w:hAnsi="宋体" w:cs="宋体"/>
          <w:color w:val="auto"/>
          <w:sz w:val="24"/>
          <w:highlight w:val="none"/>
        </w:rPr>
        <w:t>年期间参加业主招标项目投标资格的处罚，同时愿意接受交通行政主管部门依照有关规定作出的其它处罚决定。</w:t>
      </w:r>
    </w:p>
    <w:p>
      <w:pPr>
        <w:snapToGrid w:val="0"/>
        <w:spacing w:line="360" w:lineRule="auto"/>
        <w:ind w:firstLine="480" w:firstLineChars="200"/>
        <w:rPr>
          <w:rFonts w:ascii="宋体"/>
          <w:color w:val="auto"/>
          <w:sz w:val="24"/>
          <w:highlight w:val="none"/>
        </w:rPr>
      </w:pPr>
      <w:r>
        <w:rPr>
          <w:rFonts w:ascii="宋体" w:hAnsi="宋体" w:cs="宋体"/>
          <w:color w:val="auto"/>
          <w:sz w:val="24"/>
          <w:highlight w:val="none"/>
        </w:rPr>
        <w:t>3</w:t>
      </w:r>
      <w:r>
        <w:rPr>
          <w:rFonts w:hint="eastAsia" w:ascii="宋体" w:hAnsi="宋体" w:cs="宋体"/>
          <w:color w:val="auto"/>
          <w:sz w:val="24"/>
          <w:highlight w:val="none"/>
        </w:rPr>
        <w:t>．根据江苏省人民政府办公厅《关于全面推进农民工参加公伤保险的意见》，为农民工办理工伤保险，并按照国家相关规定为农民工缴纳医疗保险。</w:t>
      </w:r>
    </w:p>
    <w:p>
      <w:pPr>
        <w:snapToGrid w:val="0"/>
        <w:spacing w:line="360" w:lineRule="auto"/>
        <w:ind w:firstLine="480" w:firstLineChars="200"/>
        <w:rPr>
          <w:rFonts w:ascii="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．本公司同意：在合同执行期间由发包人每月扣留工程计量款的</w:t>
      </w:r>
      <w:r>
        <w:rPr>
          <w:rFonts w:ascii="宋体" w:hAnsi="宋体" w:cs="宋体"/>
          <w:color w:val="auto"/>
          <w:sz w:val="24"/>
          <w:highlight w:val="none"/>
        </w:rPr>
        <w:t>1</w:t>
      </w:r>
      <w:r>
        <w:rPr>
          <w:rFonts w:hint="eastAsia" w:ascii="宋体" w:hAnsi="宋体" w:cs="宋体"/>
          <w:color w:val="auto"/>
          <w:sz w:val="24"/>
          <w:highlight w:val="none"/>
        </w:rPr>
        <w:t>％作为农民工工资保障金（该部分费用含入“质量保证金及其他”的预留款中，不再作为专项扣留），如发生承包人拖欠农民工工资，发包人有权直接使用此项资金偿付拖欠的农民工工资。</w:t>
      </w:r>
    </w:p>
    <w:p>
      <w:pPr>
        <w:snapToGrid w:val="0"/>
        <w:spacing w:line="360" w:lineRule="auto"/>
        <w:ind w:firstLine="480" w:firstLineChars="200"/>
        <w:rPr>
          <w:rFonts w:ascii="宋体"/>
          <w:color w:val="auto"/>
          <w:sz w:val="24"/>
          <w:highlight w:val="none"/>
        </w:rPr>
      </w:pPr>
    </w:p>
    <w:p>
      <w:pPr>
        <w:snapToGrid w:val="0"/>
        <w:spacing w:line="360" w:lineRule="auto"/>
        <w:rPr>
          <w:rFonts w:ascii="宋体"/>
          <w:color w:val="auto"/>
          <w:sz w:val="24"/>
          <w:highlight w:val="none"/>
        </w:rPr>
      </w:pP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（盖单位公章）</w:t>
      </w:r>
      <w:r>
        <w:rPr>
          <w:rFonts w:ascii="宋体" w:hAnsi="宋体" w:cs="宋体"/>
          <w:color w:val="auto"/>
          <w:sz w:val="24"/>
          <w:highlight w:val="none"/>
          <w:u w:val="single"/>
        </w:rPr>
        <w:t xml:space="preserve">    </w:t>
      </w: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承诺人法定代表人：</w:t>
      </w:r>
      <w:r>
        <w:rPr>
          <w:rFonts w:ascii="宋体" w:hAnsi="宋体" w:cs="宋体"/>
          <w:color w:val="auto"/>
          <w:sz w:val="24"/>
          <w:highlight w:val="none"/>
          <w:u w:val="single"/>
        </w:rPr>
        <w:t xml:space="preserve">   </w:t>
      </w:r>
      <w:r>
        <w:rPr>
          <w:rFonts w:hint="eastAsia" w:ascii="Arial" w:hAnsi="Arial" w:cs="宋体"/>
          <w:color w:val="auto"/>
          <w:sz w:val="24"/>
          <w:highlight w:val="none"/>
          <w:u w:val="single"/>
        </w:rPr>
        <w:t>（</w:t>
      </w:r>
      <w:r>
        <w:rPr>
          <w:rFonts w:hint="eastAsia" w:ascii="Arial" w:hAnsi="Arial" w:cs="宋体"/>
          <w:b/>
          <w:bCs/>
          <w:color w:val="auto"/>
          <w:sz w:val="24"/>
          <w:highlight w:val="none"/>
          <w:u w:val="single"/>
        </w:rPr>
        <w:t>亲笔签名</w:t>
      </w:r>
      <w:r>
        <w:rPr>
          <w:rFonts w:hint="eastAsia" w:ascii="Arial" w:hAnsi="Arial" w:cs="宋体"/>
          <w:color w:val="auto"/>
          <w:sz w:val="24"/>
          <w:highlight w:val="none"/>
          <w:u w:val="single"/>
        </w:rPr>
        <w:t>）</w:t>
      </w:r>
      <w:r>
        <w:rPr>
          <w:rFonts w:ascii="宋体" w:hAnsi="宋体" w:cs="宋体"/>
          <w:color w:val="auto"/>
          <w:sz w:val="24"/>
          <w:highlight w:val="none"/>
          <w:u w:val="single"/>
        </w:rPr>
        <w:t xml:space="preserve">  </w:t>
      </w:r>
    </w:p>
    <w:p>
      <w:pPr>
        <w:keepNext/>
        <w:keepLines/>
        <w:spacing w:before="240" w:after="120" w:afterLines="50" w:line="400" w:lineRule="exact"/>
        <w:ind w:firstLine="480" w:firstLineChars="200"/>
        <w:jc w:val="right"/>
        <w:outlineLvl w:val="1"/>
        <w:rPr>
          <w:rFonts w:ascii="宋体" w:hAnsi="宋体" w:cs="宋体"/>
          <w:color w:val="auto"/>
          <w:sz w:val="24"/>
          <w:highlight w:val="none"/>
        </w:rPr>
      </w:pPr>
      <w:r>
        <w:rPr>
          <w:rFonts w:hint="eastAsia" w:ascii="宋体" w:hAnsi="宋体" w:cs="宋体"/>
          <w:color w:val="auto"/>
          <w:sz w:val="24"/>
          <w:highlight w:val="none"/>
        </w:rPr>
        <w:t>日期：</w:t>
      </w:r>
      <w:r>
        <w:rPr>
          <w:rFonts w:ascii="宋体" w:hAnsi="宋体" w:cs="宋体"/>
          <w:color w:val="auto"/>
          <w:sz w:val="24"/>
          <w:highlight w:val="none"/>
          <w:u w:val="single"/>
        </w:rPr>
        <w:t xml:space="preserve">       </w:t>
      </w:r>
      <w:r>
        <w:rPr>
          <w:rFonts w:hint="eastAsia" w:ascii="宋体" w:hAnsi="宋体" w:cs="宋体"/>
          <w:color w:val="auto"/>
          <w:sz w:val="24"/>
          <w:highlight w:val="none"/>
        </w:rPr>
        <w:t>年</w:t>
      </w:r>
      <w:r>
        <w:rPr>
          <w:rFonts w:ascii="宋体" w:hAnsi="宋体" w:cs="宋体"/>
          <w:color w:val="auto"/>
          <w:sz w:val="24"/>
          <w:highlight w:val="none"/>
          <w:u w:val="single"/>
        </w:rPr>
        <w:t xml:space="preserve">    </w:t>
      </w:r>
      <w:r>
        <w:rPr>
          <w:rFonts w:hint="eastAsia" w:ascii="宋体" w:hAnsi="宋体" w:cs="宋体"/>
          <w:color w:val="auto"/>
          <w:sz w:val="24"/>
          <w:highlight w:val="none"/>
        </w:rPr>
        <w:t>月</w:t>
      </w:r>
      <w:r>
        <w:rPr>
          <w:rFonts w:ascii="宋体" w:hAnsi="宋体" w:cs="宋体"/>
          <w:color w:val="auto"/>
          <w:sz w:val="24"/>
          <w:highlight w:val="none"/>
          <w:u w:val="single"/>
        </w:rPr>
        <w:t xml:space="preserve">    </w:t>
      </w:r>
      <w:r>
        <w:rPr>
          <w:rFonts w:hint="eastAsia" w:ascii="宋体" w:hAnsi="宋体" w:cs="宋体"/>
          <w:color w:val="auto"/>
          <w:sz w:val="24"/>
          <w:highlight w:val="none"/>
        </w:rPr>
        <w:t>日</w:t>
      </w:r>
    </w:p>
    <w:p>
      <w:pPr>
        <w:autoSpaceDE w:val="0"/>
        <w:autoSpaceDN w:val="0"/>
        <w:spacing w:line="360" w:lineRule="auto"/>
        <w:ind w:firstLine="7730" w:firstLineChars="1750"/>
        <w:jc w:val="left"/>
        <w:rPr>
          <w:color w:val="auto"/>
          <w:kern w:val="0"/>
          <w:sz w:val="24"/>
          <w:szCs w:val="24"/>
          <w:highlight w:val="none"/>
        </w:rPr>
      </w:pPr>
      <w:r>
        <w:rPr>
          <w:b/>
          <w:color w:val="auto"/>
          <w:sz w:val="44"/>
          <w:szCs w:val="44"/>
          <w:highlight w:val="none"/>
        </w:rPr>
        <w:br w:type="page"/>
      </w:r>
      <w:bookmarkStart w:id="114" w:name="_Toc454186136"/>
      <w:bookmarkStart w:id="115" w:name="_Toc455668324"/>
      <w:bookmarkStart w:id="116" w:name="_Toc467487406"/>
      <w:bookmarkStart w:id="117" w:name="_Toc297552050"/>
      <w:bookmarkStart w:id="118" w:name="_Toc396227814"/>
    </w:p>
    <w:p>
      <w:pPr>
        <w:spacing w:after="120"/>
        <w:jc w:val="center"/>
        <w:rPr>
          <w:rFonts w:ascii="宋体" w:hAnsi="宋体"/>
          <w:b/>
          <w:bCs/>
          <w:color w:val="auto"/>
          <w:highlight w:val="none"/>
        </w:rPr>
      </w:pPr>
      <w:r>
        <w:rPr>
          <w:rFonts w:hint="eastAsia" w:ascii="宋体" w:hAnsi="宋体"/>
          <w:b/>
          <w:color w:val="auto"/>
          <w:sz w:val="30"/>
          <w:szCs w:val="30"/>
          <w:highlight w:val="none"/>
        </w:rPr>
        <w:t>九、确保工程质量不非法分包不违法转包承诺书</w:t>
      </w:r>
      <w:bookmarkEnd w:id="114"/>
      <w:bookmarkEnd w:id="115"/>
      <w:bookmarkEnd w:id="116"/>
      <w:bookmarkEnd w:id="117"/>
      <w:bookmarkEnd w:id="118"/>
    </w:p>
    <w:p>
      <w:pPr>
        <w:jc w:val="center"/>
        <w:rPr>
          <w:rFonts w:ascii="宋体"/>
          <w:b/>
          <w:bCs/>
          <w:color w:val="auto"/>
          <w:sz w:val="32"/>
          <w:szCs w:val="32"/>
          <w:highlight w:val="none"/>
        </w:rPr>
      </w:pPr>
    </w:p>
    <w:p>
      <w:pPr>
        <w:spacing w:line="360" w:lineRule="auto"/>
        <w:rPr>
          <w:rFonts w:ascii="Arial" w:hAnsi="Arial" w:cs="Arial"/>
          <w:b/>
          <w:bCs/>
          <w:color w:val="auto"/>
          <w:sz w:val="24"/>
          <w:highlight w:val="none"/>
          <w:u w:val="single"/>
        </w:rPr>
      </w:pPr>
      <w:r>
        <w:rPr>
          <w:rFonts w:hint="eastAsia" w:ascii="宋体" w:cs="宋体"/>
          <w:color w:val="auto"/>
          <w:sz w:val="24"/>
          <w:highlight w:val="none"/>
        </w:rPr>
        <w:t>致：</w:t>
      </w:r>
      <w:r>
        <w:rPr>
          <w:rFonts w:hint="eastAsia" w:ascii="Arial" w:hAnsi="Arial" w:cs="宋体"/>
          <w:b/>
          <w:bCs/>
          <w:color w:val="auto"/>
          <w:sz w:val="24"/>
          <w:highlight w:val="none"/>
          <w:u w:val="single"/>
        </w:rPr>
        <w:t>南通洋吕铁路开发建设有限公司</w:t>
      </w:r>
    </w:p>
    <w:p>
      <w:pPr>
        <w:spacing w:line="360" w:lineRule="auto"/>
        <w:rPr>
          <w:rFonts w:ascii="Arial" w:hAnsi="Arial" w:cs="Arial"/>
          <w:b/>
          <w:bCs/>
          <w:color w:val="auto"/>
          <w:sz w:val="24"/>
          <w:highlight w:val="none"/>
          <w:u w:val="single"/>
        </w:rPr>
      </w:pPr>
    </w:p>
    <w:p>
      <w:pPr>
        <w:spacing w:line="360" w:lineRule="auto"/>
        <w:ind w:firstLine="480" w:firstLineChars="200"/>
        <w:rPr>
          <w:rFonts w:ascii="宋体"/>
          <w:color w:val="auto"/>
          <w:sz w:val="24"/>
          <w:highlight w:val="none"/>
        </w:rPr>
      </w:pPr>
      <w:r>
        <w:rPr>
          <w:rFonts w:hint="eastAsia" w:ascii="Arial" w:hAnsi="Arial" w:cs="宋体"/>
          <w:color w:val="auto"/>
          <w:sz w:val="24"/>
          <w:highlight w:val="none"/>
        </w:rPr>
        <w:t>我单位在</w:t>
      </w:r>
      <w:r>
        <w:rPr>
          <w:rFonts w:hint="eastAsia" w:ascii="Arial" w:hAnsi="Arial" w:cs="宋体"/>
          <w:color w:val="auto"/>
          <w:sz w:val="24"/>
          <w:highlight w:val="none"/>
          <w:u w:val="single"/>
        </w:rPr>
        <w:t xml:space="preserve">     </w:t>
      </w:r>
      <w:r>
        <w:rPr>
          <w:rFonts w:hint="eastAsia" w:ascii="Arial" w:hAnsi="Arial" w:cs="Arial"/>
          <w:color w:val="auto"/>
          <w:sz w:val="24"/>
          <w:highlight w:val="none"/>
          <w:u w:val="single"/>
        </w:rPr>
        <w:t>项目</w:t>
      </w:r>
      <w:r>
        <w:rPr>
          <w:rFonts w:ascii="Arial" w:hAnsi="Arial" w:cs="Arial"/>
          <w:color w:val="auto"/>
          <w:sz w:val="24"/>
          <w:highlight w:val="none"/>
          <w:u w:val="single"/>
        </w:rPr>
        <w:t xml:space="preserve">     </w:t>
      </w:r>
      <w:r>
        <w:rPr>
          <w:rFonts w:hint="eastAsia" w:ascii="Arial" w:hAnsi="Arial" w:cs="宋体"/>
          <w:color w:val="auto"/>
          <w:sz w:val="24"/>
          <w:highlight w:val="none"/>
          <w:u w:val="single"/>
        </w:rPr>
        <w:t>标段</w:t>
      </w:r>
      <w:r>
        <w:rPr>
          <w:rFonts w:hint="eastAsia" w:ascii="Arial" w:hAnsi="Arial" w:cs="宋体"/>
          <w:color w:val="auto"/>
          <w:sz w:val="24"/>
          <w:highlight w:val="none"/>
        </w:rPr>
        <w:t>工程招标中若有幸中标，在这项工程实施过程中，我们除响应招标文件的</w:t>
      </w:r>
      <w:r>
        <w:rPr>
          <w:rFonts w:hint="eastAsia" w:ascii="宋体" w:cs="宋体"/>
          <w:color w:val="auto"/>
          <w:sz w:val="24"/>
          <w:highlight w:val="none"/>
        </w:rPr>
        <w:t>所有条款，认真履行合同规定的各项义务，并郑重承诺：</w:t>
      </w:r>
    </w:p>
    <w:p>
      <w:pPr>
        <w:spacing w:line="360" w:lineRule="auto"/>
        <w:ind w:firstLine="420"/>
        <w:rPr>
          <w:rFonts w:ascii="宋体"/>
          <w:color w:val="auto"/>
          <w:sz w:val="24"/>
          <w:highlight w:val="none"/>
        </w:rPr>
      </w:pPr>
      <w:r>
        <w:rPr>
          <w:rFonts w:hint="eastAsia" w:ascii="宋体" w:cs="宋体"/>
          <w:color w:val="auto"/>
          <w:sz w:val="24"/>
          <w:highlight w:val="none"/>
        </w:rPr>
        <w:t>在此项工程施工过程中，我单位一定科学计划、精心组织，确保工期和质量，并保证不非法分包、不违法转包中标工程，并随时接受业主及其代表监督。在工程实施阶段，我单位保证对本工程不进行非法分包。若因特殊原因确需调整，必须报经业主及其代表批准同意，否则，应视为我单位非法分包行为。</w:t>
      </w:r>
    </w:p>
    <w:p>
      <w:pPr>
        <w:spacing w:line="360" w:lineRule="auto"/>
        <w:ind w:firstLine="420"/>
        <w:rPr>
          <w:rFonts w:ascii="宋体"/>
          <w:color w:val="auto"/>
          <w:sz w:val="24"/>
          <w:highlight w:val="none"/>
        </w:rPr>
      </w:pPr>
      <w:r>
        <w:rPr>
          <w:rFonts w:hint="eastAsia" w:ascii="宋体" w:cs="宋体"/>
          <w:color w:val="auto"/>
          <w:sz w:val="24"/>
          <w:highlight w:val="none"/>
        </w:rPr>
        <w:t>若我单位在项目实施过程中违背上述承诺，出现非法分包或违法转包等行为，我单位甘愿接受处罚，无条件撤出现场，并放弃二年投标资格。</w:t>
      </w:r>
    </w:p>
    <w:p>
      <w:pPr>
        <w:spacing w:line="360" w:lineRule="auto"/>
        <w:rPr>
          <w:rFonts w:ascii="宋体"/>
          <w:color w:val="auto"/>
          <w:sz w:val="24"/>
          <w:highlight w:val="none"/>
        </w:rPr>
      </w:pPr>
    </w:p>
    <w:p>
      <w:pPr>
        <w:spacing w:line="360" w:lineRule="auto"/>
        <w:rPr>
          <w:rFonts w:ascii="宋体"/>
          <w:color w:val="auto"/>
          <w:sz w:val="24"/>
          <w:highlight w:val="none"/>
        </w:rPr>
      </w:pP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（盖单位公章）</w:t>
      </w:r>
      <w:r>
        <w:rPr>
          <w:rFonts w:ascii="宋体" w:hAnsi="宋体" w:cs="宋体"/>
          <w:color w:val="auto"/>
          <w:sz w:val="24"/>
          <w:highlight w:val="none"/>
          <w:u w:val="single"/>
        </w:rPr>
        <w:t xml:space="preserve">    </w:t>
      </w: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承诺人法定代表人：</w:t>
      </w:r>
      <w:r>
        <w:rPr>
          <w:rFonts w:ascii="宋体" w:hAnsi="宋体" w:cs="宋体"/>
          <w:color w:val="auto"/>
          <w:sz w:val="24"/>
          <w:highlight w:val="none"/>
          <w:u w:val="single"/>
        </w:rPr>
        <w:t xml:space="preserve">   </w:t>
      </w:r>
      <w:r>
        <w:rPr>
          <w:rFonts w:hint="eastAsia" w:ascii="Arial" w:hAnsi="Arial" w:cs="宋体"/>
          <w:color w:val="auto"/>
          <w:sz w:val="24"/>
          <w:highlight w:val="none"/>
          <w:u w:val="single"/>
        </w:rPr>
        <w:t>（</w:t>
      </w:r>
      <w:r>
        <w:rPr>
          <w:rFonts w:hint="eastAsia" w:ascii="Arial" w:hAnsi="Arial" w:cs="宋体"/>
          <w:b/>
          <w:bCs/>
          <w:color w:val="auto"/>
          <w:sz w:val="24"/>
          <w:highlight w:val="none"/>
          <w:u w:val="single"/>
        </w:rPr>
        <w:t>亲笔签名</w:t>
      </w:r>
      <w:r>
        <w:rPr>
          <w:rFonts w:hint="eastAsia" w:ascii="Arial" w:hAnsi="Arial" w:cs="宋体"/>
          <w:color w:val="auto"/>
          <w:sz w:val="24"/>
          <w:highlight w:val="none"/>
          <w:u w:val="single"/>
        </w:rPr>
        <w:t>）</w:t>
      </w:r>
      <w:r>
        <w:rPr>
          <w:rFonts w:ascii="宋体" w:hAnsi="宋体" w:cs="宋体"/>
          <w:color w:val="auto"/>
          <w:sz w:val="24"/>
          <w:highlight w:val="none"/>
          <w:u w:val="single"/>
        </w:rPr>
        <w:t xml:space="preserve">  </w:t>
      </w:r>
    </w:p>
    <w:p>
      <w:pPr>
        <w:keepNext/>
        <w:keepLines/>
        <w:spacing w:before="240" w:after="120" w:afterLines="50" w:line="400" w:lineRule="exact"/>
        <w:ind w:firstLine="480" w:firstLineChars="200"/>
        <w:jc w:val="right"/>
        <w:outlineLvl w:val="1"/>
        <w:rPr>
          <w:rFonts w:ascii="宋体" w:hAnsi="宋体" w:cs="宋体"/>
          <w:color w:val="auto"/>
          <w:sz w:val="24"/>
          <w:highlight w:val="none"/>
        </w:rPr>
      </w:pPr>
      <w:r>
        <w:rPr>
          <w:rFonts w:hint="eastAsia" w:ascii="宋体" w:hAnsi="宋体" w:cs="宋体"/>
          <w:color w:val="auto"/>
          <w:sz w:val="24"/>
          <w:highlight w:val="none"/>
        </w:rPr>
        <w:t>日期：</w:t>
      </w:r>
      <w:r>
        <w:rPr>
          <w:rFonts w:ascii="宋体" w:hAnsi="宋体" w:cs="宋体"/>
          <w:color w:val="auto"/>
          <w:sz w:val="24"/>
          <w:highlight w:val="none"/>
          <w:u w:val="single"/>
        </w:rPr>
        <w:t xml:space="preserve">       </w:t>
      </w:r>
      <w:r>
        <w:rPr>
          <w:rFonts w:hint="eastAsia" w:ascii="宋体" w:hAnsi="宋体" w:cs="宋体"/>
          <w:color w:val="auto"/>
          <w:sz w:val="24"/>
          <w:highlight w:val="none"/>
        </w:rPr>
        <w:t>年</w:t>
      </w:r>
      <w:r>
        <w:rPr>
          <w:rFonts w:ascii="宋体" w:hAnsi="宋体" w:cs="宋体"/>
          <w:color w:val="auto"/>
          <w:sz w:val="24"/>
          <w:highlight w:val="none"/>
          <w:u w:val="single"/>
        </w:rPr>
        <w:t xml:space="preserve">    </w:t>
      </w:r>
      <w:r>
        <w:rPr>
          <w:rFonts w:hint="eastAsia" w:ascii="宋体" w:hAnsi="宋体" w:cs="宋体"/>
          <w:color w:val="auto"/>
          <w:sz w:val="24"/>
          <w:highlight w:val="none"/>
        </w:rPr>
        <w:t>月</w:t>
      </w:r>
      <w:r>
        <w:rPr>
          <w:rFonts w:ascii="宋体" w:hAnsi="宋体" w:cs="宋体"/>
          <w:color w:val="auto"/>
          <w:sz w:val="24"/>
          <w:highlight w:val="none"/>
          <w:u w:val="single"/>
        </w:rPr>
        <w:t xml:space="preserve">    </w:t>
      </w:r>
      <w:r>
        <w:rPr>
          <w:rFonts w:hint="eastAsia" w:ascii="宋体" w:hAnsi="宋体" w:cs="宋体"/>
          <w:color w:val="auto"/>
          <w:sz w:val="24"/>
          <w:highlight w:val="none"/>
        </w:rPr>
        <w:t>日</w:t>
      </w:r>
    </w:p>
    <w:p>
      <w:pPr>
        <w:spacing w:line="360" w:lineRule="auto"/>
        <w:jc w:val="center"/>
        <w:rPr>
          <w:rFonts w:ascii="宋体" w:hAnsi="宋体"/>
          <w:b/>
          <w:bCs/>
          <w:color w:val="auto"/>
          <w:sz w:val="30"/>
          <w:highlight w:val="none"/>
        </w:rPr>
      </w:pPr>
      <w:r>
        <w:rPr>
          <w:rFonts w:ascii="宋体" w:hAnsi="宋体"/>
          <w:b/>
          <w:color w:val="auto"/>
          <w:sz w:val="30"/>
          <w:szCs w:val="30"/>
          <w:highlight w:val="none"/>
        </w:rPr>
        <w:br w:type="page"/>
      </w:r>
      <w:r>
        <w:rPr>
          <w:rFonts w:hint="eastAsia" w:ascii="宋体" w:hAnsi="宋体"/>
          <w:b/>
          <w:color w:val="auto"/>
          <w:sz w:val="30"/>
          <w:szCs w:val="30"/>
          <w:highlight w:val="none"/>
        </w:rPr>
        <w:t>十</w:t>
      </w:r>
      <w:r>
        <w:rPr>
          <w:rFonts w:hint="eastAsia" w:ascii="宋体" w:hAnsi="宋体"/>
          <w:b/>
          <w:bCs/>
          <w:color w:val="auto"/>
          <w:sz w:val="30"/>
          <w:highlight w:val="none"/>
        </w:rPr>
        <w:t>、拟投入项目经理任职</w:t>
      </w:r>
      <w:r>
        <w:rPr>
          <w:rFonts w:ascii="宋体" w:hAnsi="宋体"/>
          <w:b/>
          <w:bCs/>
          <w:color w:val="auto"/>
          <w:sz w:val="30"/>
          <w:highlight w:val="none"/>
        </w:rPr>
        <w:t>承诺</w:t>
      </w:r>
      <w:r>
        <w:rPr>
          <w:rFonts w:hint="eastAsia" w:ascii="宋体" w:hAnsi="宋体"/>
          <w:b/>
          <w:bCs/>
          <w:color w:val="auto"/>
          <w:sz w:val="30"/>
          <w:highlight w:val="none"/>
        </w:rPr>
        <w:t>函</w:t>
      </w:r>
    </w:p>
    <w:p>
      <w:pPr>
        <w:spacing w:line="360" w:lineRule="auto"/>
        <w:jc w:val="left"/>
        <w:rPr>
          <w:color w:val="auto"/>
          <w:highlight w:val="none"/>
        </w:rPr>
      </w:pPr>
    </w:p>
    <w:p>
      <w:pPr>
        <w:spacing w:line="360" w:lineRule="auto"/>
        <w:jc w:val="left"/>
        <w:rPr>
          <w:rFonts w:ascii="宋体"/>
          <w:color w:val="auto"/>
          <w:sz w:val="24"/>
          <w:highlight w:val="none"/>
        </w:rPr>
      </w:pPr>
      <w:r>
        <w:rPr>
          <w:rFonts w:hint="eastAsia" w:ascii="宋体" w:hAnsi="宋体"/>
          <w:color w:val="auto"/>
          <w:sz w:val="24"/>
          <w:highlight w:val="none"/>
          <w:u w:val="single"/>
        </w:rPr>
        <w:t>南通洋吕铁路开发建设有限公司</w:t>
      </w:r>
      <w:r>
        <w:rPr>
          <w:rFonts w:hint="eastAsia" w:ascii="宋体"/>
          <w:color w:val="auto"/>
          <w:sz w:val="24"/>
          <w:highlight w:val="none"/>
        </w:rPr>
        <w:t>：</w:t>
      </w:r>
    </w:p>
    <w:p>
      <w:pPr>
        <w:spacing w:line="360" w:lineRule="auto"/>
        <w:ind w:firstLine="420"/>
        <w:rPr>
          <w:rFonts w:ascii="宋体"/>
          <w:color w:val="auto"/>
          <w:sz w:val="24"/>
          <w:highlight w:val="none"/>
        </w:rPr>
      </w:pPr>
      <w:r>
        <w:rPr>
          <w:rFonts w:hint="eastAsia" w:ascii="宋体"/>
          <w:color w:val="auto"/>
          <w:sz w:val="24"/>
          <w:highlight w:val="none"/>
        </w:rPr>
        <w:t>我单位自愿参加</w:t>
      </w:r>
      <w:r>
        <w:rPr>
          <w:rFonts w:ascii="Arial" w:hAnsi="Arial" w:cs="Arial"/>
          <w:b/>
          <w:color w:val="auto"/>
          <w:sz w:val="24"/>
          <w:highlight w:val="none"/>
          <w:u w:val="single"/>
        </w:rPr>
        <w:t xml:space="preserve">              </w:t>
      </w:r>
      <w:r>
        <w:rPr>
          <w:rFonts w:hint="eastAsia" w:ascii="Arial" w:hAnsi="Arial" w:cs="Arial"/>
          <w:b/>
          <w:color w:val="auto"/>
          <w:sz w:val="24"/>
          <w:highlight w:val="none"/>
        </w:rPr>
        <w:t>项目</w:t>
      </w:r>
      <w:r>
        <w:rPr>
          <w:rFonts w:ascii="Arial" w:hAnsi="Arial" w:cs="Arial"/>
          <w:b/>
          <w:color w:val="auto"/>
          <w:sz w:val="24"/>
          <w:highlight w:val="none"/>
          <w:u w:val="single"/>
        </w:rPr>
        <w:t xml:space="preserve">    </w:t>
      </w:r>
      <w:r>
        <w:rPr>
          <w:rFonts w:hint="eastAsia" w:ascii="宋体"/>
          <w:b/>
          <w:color w:val="auto"/>
          <w:sz w:val="24"/>
          <w:highlight w:val="none"/>
        </w:rPr>
        <w:t>标段</w:t>
      </w:r>
      <w:r>
        <w:rPr>
          <w:rFonts w:hint="eastAsia" w:ascii="宋体"/>
          <w:color w:val="auto"/>
          <w:sz w:val="24"/>
          <w:highlight w:val="none"/>
        </w:rPr>
        <w:t>的投标活动，并郑重承诺：</w:t>
      </w:r>
    </w:p>
    <w:p>
      <w:pPr>
        <w:spacing w:line="360" w:lineRule="auto"/>
        <w:ind w:firstLine="420"/>
        <w:rPr>
          <w:rFonts w:ascii="宋体"/>
          <w:color w:val="auto"/>
          <w:sz w:val="24"/>
          <w:highlight w:val="none"/>
        </w:rPr>
      </w:pPr>
      <w:r>
        <w:rPr>
          <w:rFonts w:hint="eastAsia" w:ascii="宋体"/>
          <w:color w:val="auto"/>
          <w:sz w:val="24"/>
          <w:highlight w:val="none"/>
        </w:rPr>
        <w:t>若我单位中标本项目，拟投入本项目的项目经理在中标后均能立即赴本项目任职,且不在本项目以外的项目兼任职务。</w:t>
      </w:r>
    </w:p>
    <w:p>
      <w:pPr>
        <w:spacing w:line="360" w:lineRule="auto"/>
        <w:ind w:firstLine="420"/>
        <w:rPr>
          <w:rFonts w:ascii="宋体"/>
          <w:color w:val="auto"/>
          <w:sz w:val="24"/>
          <w:highlight w:val="none"/>
        </w:rPr>
      </w:pPr>
      <w:r>
        <w:rPr>
          <w:rFonts w:hint="eastAsia" w:ascii="宋体"/>
          <w:color w:val="auto"/>
          <w:sz w:val="24"/>
          <w:highlight w:val="none"/>
        </w:rPr>
        <w:t>我方如有违背承诺，愿意承担相关违约责任。</w:t>
      </w:r>
    </w:p>
    <w:p>
      <w:pPr>
        <w:spacing w:line="720" w:lineRule="auto"/>
        <w:ind w:firstLine="3785" w:firstLineChars="1352"/>
        <w:rPr>
          <w:rFonts w:ascii="宋体" w:hAnsi="宋体"/>
          <w:color w:val="auto"/>
          <w:sz w:val="28"/>
          <w:szCs w:val="28"/>
          <w:highlight w:val="none"/>
        </w:rPr>
      </w:pPr>
    </w:p>
    <w:p>
      <w:pPr>
        <w:spacing w:line="720" w:lineRule="auto"/>
        <w:ind w:firstLine="3785" w:firstLineChars="1352"/>
        <w:rPr>
          <w:rFonts w:ascii="宋体" w:hAnsi="宋体"/>
          <w:color w:val="auto"/>
          <w:sz w:val="28"/>
          <w:szCs w:val="28"/>
          <w:highlight w:val="none"/>
        </w:rPr>
      </w:pPr>
    </w:p>
    <w:p>
      <w:pPr>
        <w:spacing w:line="720" w:lineRule="auto"/>
        <w:ind w:firstLine="3785" w:firstLineChars="1352"/>
        <w:rPr>
          <w:rFonts w:ascii="宋体" w:hAnsi="宋体"/>
          <w:color w:val="auto"/>
          <w:sz w:val="28"/>
          <w:szCs w:val="28"/>
          <w:highlight w:val="none"/>
        </w:rPr>
      </w:pP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（盖单位公章）</w:t>
      </w:r>
      <w:r>
        <w:rPr>
          <w:rFonts w:ascii="宋体" w:hAnsi="宋体" w:cs="宋体"/>
          <w:color w:val="auto"/>
          <w:sz w:val="24"/>
          <w:highlight w:val="none"/>
          <w:u w:val="single"/>
        </w:rPr>
        <w:t xml:space="preserve">    </w:t>
      </w:r>
    </w:p>
    <w:p>
      <w:pPr>
        <w:snapToGrid w:val="0"/>
        <w:spacing w:line="360" w:lineRule="auto"/>
        <w:ind w:firstLine="3616" w:firstLineChars="1507"/>
        <w:rPr>
          <w:rFonts w:ascii="宋体"/>
          <w:color w:val="auto"/>
          <w:sz w:val="24"/>
          <w:highlight w:val="none"/>
        </w:rPr>
      </w:pPr>
      <w:r>
        <w:rPr>
          <w:rFonts w:hint="eastAsia" w:ascii="宋体" w:hAnsi="宋体" w:cs="宋体"/>
          <w:color w:val="auto"/>
          <w:sz w:val="24"/>
          <w:highlight w:val="none"/>
        </w:rPr>
        <w:t>承诺人法定代表人：</w:t>
      </w:r>
      <w:r>
        <w:rPr>
          <w:rFonts w:ascii="宋体" w:hAnsi="宋体" w:cs="宋体"/>
          <w:color w:val="auto"/>
          <w:sz w:val="24"/>
          <w:highlight w:val="none"/>
          <w:u w:val="single"/>
        </w:rPr>
        <w:t xml:space="preserve">   </w:t>
      </w:r>
      <w:r>
        <w:rPr>
          <w:rFonts w:hint="eastAsia" w:ascii="Arial" w:hAnsi="Arial" w:cs="宋体"/>
          <w:color w:val="auto"/>
          <w:sz w:val="24"/>
          <w:highlight w:val="none"/>
          <w:u w:val="single"/>
        </w:rPr>
        <w:t>（</w:t>
      </w:r>
      <w:r>
        <w:rPr>
          <w:rFonts w:hint="eastAsia" w:ascii="Arial" w:hAnsi="Arial" w:cs="宋体"/>
          <w:b/>
          <w:bCs/>
          <w:color w:val="auto"/>
          <w:sz w:val="24"/>
          <w:highlight w:val="none"/>
          <w:u w:val="single"/>
        </w:rPr>
        <w:t>亲笔签名</w:t>
      </w:r>
      <w:r>
        <w:rPr>
          <w:rFonts w:hint="eastAsia" w:ascii="Arial" w:hAnsi="Arial" w:cs="宋体"/>
          <w:color w:val="auto"/>
          <w:sz w:val="24"/>
          <w:highlight w:val="none"/>
          <w:u w:val="single"/>
        </w:rPr>
        <w:t>）</w:t>
      </w:r>
      <w:r>
        <w:rPr>
          <w:rFonts w:ascii="宋体" w:hAnsi="宋体" w:cs="宋体"/>
          <w:color w:val="auto"/>
          <w:sz w:val="24"/>
          <w:highlight w:val="none"/>
          <w:u w:val="single"/>
        </w:rPr>
        <w:t xml:space="preserve">  </w:t>
      </w:r>
    </w:p>
    <w:p>
      <w:pPr>
        <w:keepNext/>
        <w:keepLines/>
        <w:spacing w:before="240" w:after="120" w:afterLines="50" w:line="400" w:lineRule="exact"/>
        <w:ind w:firstLine="480" w:firstLineChars="200"/>
        <w:jc w:val="right"/>
        <w:outlineLvl w:val="1"/>
        <w:rPr>
          <w:rFonts w:ascii="宋体" w:hAnsi="宋体" w:cs="宋体"/>
          <w:color w:val="auto"/>
          <w:sz w:val="24"/>
          <w:highlight w:val="none"/>
        </w:rPr>
      </w:pPr>
      <w:r>
        <w:rPr>
          <w:rFonts w:hint="eastAsia" w:ascii="宋体" w:hAnsi="宋体" w:cs="宋体"/>
          <w:color w:val="auto"/>
          <w:sz w:val="24"/>
          <w:highlight w:val="none"/>
        </w:rPr>
        <w:t>日期：</w:t>
      </w:r>
      <w:r>
        <w:rPr>
          <w:rFonts w:ascii="宋体" w:hAnsi="宋体" w:cs="宋体"/>
          <w:color w:val="auto"/>
          <w:sz w:val="24"/>
          <w:highlight w:val="none"/>
          <w:u w:val="single"/>
        </w:rPr>
        <w:t xml:space="preserve">       </w:t>
      </w:r>
      <w:r>
        <w:rPr>
          <w:rFonts w:hint="eastAsia" w:ascii="宋体" w:hAnsi="宋体" w:cs="宋体"/>
          <w:color w:val="auto"/>
          <w:sz w:val="24"/>
          <w:highlight w:val="none"/>
        </w:rPr>
        <w:t>年</w:t>
      </w:r>
      <w:r>
        <w:rPr>
          <w:rFonts w:ascii="宋体" w:hAnsi="宋体" w:cs="宋体"/>
          <w:color w:val="auto"/>
          <w:sz w:val="24"/>
          <w:highlight w:val="none"/>
          <w:u w:val="single"/>
        </w:rPr>
        <w:t xml:space="preserve">    </w:t>
      </w:r>
      <w:r>
        <w:rPr>
          <w:rFonts w:hint="eastAsia" w:ascii="宋体" w:hAnsi="宋体" w:cs="宋体"/>
          <w:color w:val="auto"/>
          <w:sz w:val="24"/>
          <w:highlight w:val="none"/>
        </w:rPr>
        <w:t>月</w:t>
      </w:r>
      <w:r>
        <w:rPr>
          <w:rFonts w:ascii="宋体" w:hAnsi="宋体" w:cs="宋体"/>
          <w:color w:val="auto"/>
          <w:sz w:val="24"/>
          <w:highlight w:val="none"/>
          <w:u w:val="single"/>
        </w:rPr>
        <w:t xml:space="preserve">    </w:t>
      </w:r>
      <w:r>
        <w:rPr>
          <w:rFonts w:hint="eastAsia" w:ascii="宋体" w:hAnsi="宋体" w:cs="宋体"/>
          <w:color w:val="auto"/>
          <w:sz w:val="24"/>
          <w:highlight w:val="none"/>
        </w:rPr>
        <w:t>日</w:t>
      </w:r>
    </w:p>
    <w:p>
      <w:pPr>
        <w:spacing w:line="360" w:lineRule="auto"/>
        <w:jc w:val="center"/>
        <w:rPr>
          <w:rFonts w:ascii="Arial" w:hAnsi="Arial" w:cs="Arial"/>
          <w:b/>
          <w:bCs/>
          <w:color w:val="auto"/>
          <w:sz w:val="30"/>
          <w:highlight w:val="none"/>
        </w:rPr>
      </w:pPr>
      <w:r>
        <w:rPr>
          <w:rFonts w:eastAsia="黑体"/>
          <w:color w:val="auto"/>
          <w:sz w:val="44"/>
          <w:szCs w:val="44"/>
          <w:highlight w:val="none"/>
        </w:rPr>
        <w:br w:type="page"/>
      </w:r>
      <w:r>
        <w:rPr>
          <w:rFonts w:hint="eastAsia" w:ascii="宋体" w:hAnsi="宋体"/>
          <w:b/>
          <w:color w:val="auto"/>
          <w:sz w:val="30"/>
          <w:szCs w:val="30"/>
          <w:highlight w:val="none"/>
        </w:rPr>
        <w:t>十一、资料真实性承诺书</w:t>
      </w:r>
    </w:p>
    <w:p>
      <w:pPr>
        <w:rPr>
          <w:color w:val="auto"/>
          <w:highlight w:val="none"/>
        </w:rPr>
      </w:pPr>
    </w:p>
    <w:p>
      <w:pPr>
        <w:spacing w:line="360" w:lineRule="auto"/>
        <w:rPr>
          <w:rFonts w:ascii="宋体" w:hAnsi="宋体"/>
          <w:color w:val="auto"/>
          <w:sz w:val="24"/>
          <w:highlight w:val="none"/>
          <w:u w:val="single"/>
        </w:rPr>
      </w:pPr>
      <w:r>
        <w:rPr>
          <w:rFonts w:hint="eastAsia" w:ascii="Arial Narrow" w:hAnsi="Arial Narrow"/>
          <w:color w:val="auto"/>
          <w:sz w:val="24"/>
          <w:highlight w:val="none"/>
        </w:rPr>
        <w:t>致：</w:t>
      </w:r>
      <w:r>
        <w:rPr>
          <w:rFonts w:ascii="Arial Narrow" w:hAnsi="Arial Narrow"/>
          <w:color w:val="auto"/>
          <w:sz w:val="24"/>
          <w:highlight w:val="none"/>
          <w:u w:val="single"/>
        </w:rPr>
        <w:t xml:space="preserve">                  </w:t>
      </w: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本人郑重承诺：</w:t>
      </w:r>
    </w:p>
    <w:p>
      <w:pPr>
        <w:spacing w:line="360" w:lineRule="auto"/>
        <w:ind w:firstLine="360" w:firstLineChars="150"/>
        <w:rPr>
          <w:rFonts w:ascii="宋体" w:hAnsi="宋体"/>
          <w:color w:val="auto"/>
          <w:sz w:val="24"/>
          <w:highlight w:val="none"/>
        </w:rPr>
      </w:pPr>
    </w:p>
    <w:p>
      <w:pPr>
        <w:spacing w:line="360" w:lineRule="auto"/>
        <w:ind w:firstLine="360" w:firstLineChars="150"/>
        <w:rPr>
          <w:rFonts w:ascii="宋体" w:hAnsi="宋体"/>
          <w:color w:val="auto"/>
          <w:sz w:val="24"/>
          <w:highlight w:val="none"/>
        </w:rPr>
      </w:pPr>
      <w:r>
        <w:rPr>
          <w:rFonts w:hint="eastAsia" w:ascii="宋体" w:hAnsi="宋体"/>
          <w:color w:val="auto"/>
          <w:sz w:val="24"/>
          <w:highlight w:val="none"/>
        </w:rPr>
        <w:t>本企业此次参加</w:t>
      </w:r>
      <w:r>
        <w:rPr>
          <w:rFonts w:ascii="宋体" w:hAnsi="宋体"/>
          <w:b/>
          <w:color w:val="auto"/>
          <w:sz w:val="24"/>
          <w:highlight w:val="none"/>
          <w:u w:val="single"/>
        </w:rPr>
        <w:t xml:space="preserve">               </w:t>
      </w:r>
      <w:r>
        <w:rPr>
          <w:rFonts w:hint="eastAsia" w:ascii="宋体" w:hAnsi="宋体"/>
          <w:color w:val="auto"/>
          <w:sz w:val="24"/>
          <w:highlight w:val="none"/>
        </w:rPr>
        <w:t>投标所提交的所有资料都是真实的。如有虚假，本企业愿意接受招标人作出的取消投标、中标资格的决定，同时愿意接受相关行政主管部门依法作出的其它处罚诀定。</w:t>
      </w:r>
    </w:p>
    <w:p>
      <w:pPr>
        <w:spacing w:line="360" w:lineRule="auto"/>
        <w:jc w:val="center"/>
        <w:rPr>
          <w:rFonts w:ascii="宋体" w:hAnsi="宋体"/>
          <w:color w:val="auto"/>
          <w:sz w:val="24"/>
          <w:highlight w:val="none"/>
        </w:rPr>
      </w:pPr>
    </w:p>
    <w:p>
      <w:pPr>
        <w:spacing w:line="360" w:lineRule="auto"/>
        <w:rPr>
          <w:rFonts w:ascii="宋体" w:hAnsi="宋体"/>
          <w:color w:val="auto"/>
          <w:sz w:val="24"/>
          <w:highlight w:val="none"/>
        </w:rPr>
      </w:pPr>
    </w:p>
    <w:p>
      <w:pPr>
        <w:spacing w:line="360" w:lineRule="auto"/>
        <w:rPr>
          <w:rFonts w:ascii="宋体" w:hAnsi="宋体"/>
          <w:color w:val="auto"/>
          <w:sz w:val="24"/>
          <w:highlight w:val="none"/>
        </w:rPr>
      </w:pPr>
    </w:p>
    <w:p>
      <w:pPr>
        <w:spacing w:line="360" w:lineRule="auto"/>
        <w:rPr>
          <w:rFonts w:ascii="宋体" w:hAnsi="宋体"/>
          <w:color w:val="auto"/>
          <w:sz w:val="24"/>
          <w:highlight w:val="none"/>
        </w:rPr>
      </w:pPr>
    </w:p>
    <w:p>
      <w:pPr>
        <w:spacing w:line="360" w:lineRule="auto"/>
        <w:rPr>
          <w:rFonts w:ascii="宋体" w:hAnsi="宋体"/>
          <w:color w:val="auto"/>
          <w:sz w:val="24"/>
          <w:highlight w:val="none"/>
        </w:rPr>
      </w:pPr>
    </w:p>
    <w:p>
      <w:pPr>
        <w:snapToGrid w:val="0"/>
        <w:spacing w:line="360" w:lineRule="auto"/>
        <w:ind w:firstLine="4336" w:firstLineChars="1807"/>
        <w:rPr>
          <w:rFonts w:ascii="宋体"/>
          <w:color w:val="auto"/>
          <w:sz w:val="24"/>
          <w:highlight w:val="none"/>
        </w:rPr>
      </w:pPr>
      <w:r>
        <w:rPr>
          <w:rFonts w:hint="eastAsia" w:ascii="宋体" w:hAnsi="宋体" w:cs="宋体"/>
          <w:color w:val="auto"/>
          <w:sz w:val="24"/>
          <w:highlight w:val="none"/>
        </w:rPr>
        <w:t>承诺人：</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（盖单位公章）</w:t>
      </w:r>
      <w:r>
        <w:rPr>
          <w:rFonts w:ascii="宋体" w:hAnsi="宋体" w:cs="宋体"/>
          <w:color w:val="auto"/>
          <w:sz w:val="24"/>
          <w:highlight w:val="none"/>
          <w:u w:val="single"/>
        </w:rPr>
        <w:t xml:space="preserve">    </w:t>
      </w:r>
    </w:p>
    <w:p>
      <w:pPr>
        <w:snapToGrid w:val="0"/>
        <w:spacing w:line="360" w:lineRule="auto"/>
        <w:ind w:firstLine="4336" w:firstLineChars="1807"/>
        <w:rPr>
          <w:rFonts w:ascii="宋体"/>
          <w:color w:val="auto"/>
          <w:sz w:val="24"/>
          <w:highlight w:val="none"/>
        </w:rPr>
      </w:pPr>
      <w:r>
        <w:rPr>
          <w:rFonts w:hint="eastAsia" w:ascii="宋体" w:hAnsi="宋体" w:cs="宋体"/>
          <w:color w:val="auto"/>
          <w:sz w:val="24"/>
          <w:highlight w:val="none"/>
        </w:rPr>
        <w:t>承诺人法定代表人：</w:t>
      </w:r>
      <w:r>
        <w:rPr>
          <w:rFonts w:ascii="宋体" w:hAnsi="宋体" w:cs="宋体"/>
          <w:color w:val="auto"/>
          <w:sz w:val="24"/>
          <w:highlight w:val="none"/>
          <w:u w:val="single"/>
        </w:rPr>
        <w:t xml:space="preserve">   </w:t>
      </w:r>
      <w:r>
        <w:rPr>
          <w:rFonts w:hint="eastAsia" w:ascii="Arial" w:hAnsi="Arial" w:cs="宋体"/>
          <w:color w:val="auto"/>
          <w:sz w:val="24"/>
          <w:highlight w:val="none"/>
          <w:u w:val="single"/>
        </w:rPr>
        <w:t>（</w:t>
      </w:r>
      <w:r>
        <w:rPr>
          <w:rFonts w:hint="eastAsia" w:ascii="Arial" w:hAnsi="Arial" w:cs="宋体"/>
          <w:b/>
          <w:bCs/>
          <w:color w:val="auto"/>
          <w:sz w:val="24"/>
          <w:highlight w:val="none"/>
          <w:u w:val="single"/>
        </w:rPr>
        <w:t>亲笔签名</w:t>
      </w:r>
      <w:r>
        <w:rPr>
          <w:rFonts w:hint="eastAsia" w:ascii="Arial" w:hAnsi="Arial" w:cs="宋体"/>
          <w:color w:val="auto"/>
          <w:sz w:val="24"/>
          <w:highlight w:val="none"/>
          <w:u w:val="single"/>
        </w:rPr>
        <w:t>）</w:t>
      </w:r>
      <w:r>
        <w:rPr>
          <w:rFonts w:ascii="宋体" w:hAnsi="宋体" w:cs="宋体"/>
          <w:color w:val="auto"/>
          <w:sz w:val="24"/>
          <w:highlight w:val="none"/>
          <w:u w:val="single"/>
        </w:rPr>
        <w:t xml:space="preserve">  </w:t>
      </w:r>
    </w:p>
    <w:p>
      <w:pPr>
        <w:spacing w:line="440" w:lineRule="exact"/>
        <w:jc w:val="right"/>
        <w:rPr>
          <w:rFonts w:ascii="宋体" w:hAnsi="宋体"/>
          <w:color w:val="auto"/>
          <w:sz w:val="24"/>
          <w:highlight w:val="none"/>
        </w:rPr>
      </w:pPr>
      <w:r>
        <w:rPr>
          <w:rFonts w:hint="eastAsia" w:ascii="宋体" w:hAnsi="宋体"/>
          <w:color w:val="auto"/>
          <w:sz w:val="24"/>
          <w:highlight w:val="none"/>
        </w:rPr>
        <w:t>日期：</w:t>
      </w:r>
      <w:r>
        <w:rPr>
          <w:rFonts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rPr>
        <w:t>_</w:t>
      </w:r>
      <w:r>
        <w:rPr>
          <w:rFonts w:ascii="宋体" w:hAnsi="宋体"/>
          <w:color w:val="auto"/>
          <w:sz w:val="24"/>
          <w:highlight w:val="none"/>
          <w:u w:val="single"/>
        </w:rPr>
        <w:t xml:space="preserve"> _</w:t>
      </w:r>
      <w:r>
        <w:rPr>
          <w:rFonts w:hint="eastAsia" w:ascii="宋体" w:hAnsi="宋体"/>
          <w:color w:val="auto"/>
          <w:sz w:val="24"/>
          <w:highlight w:val="none"/>
        </w:rPr>
        <w:t>月</w:t>
      </w:r>
      <w:r>
        <w:rPr>
          <w:rFonts w:ascii="宋体" w:hAnsi="宋体"/>
          <w:color w:val="auto"/>
          <w:sz w:val="24"/>
          <w:highlight w:val="none"/>
        </w:rPr>
        <w:t>_</w:t>
      </w:r>
      <w:r>
        <w:rPr>
          <w:rFonts w:ascii="宋体" w:hAnsi="宋体"/>
          <w:color w:val="auto"/>
          <w:sz w:val="24"/>
          <w:highlight w:val="none"/>
          <w:u w:val="single"/>
        </w:rPr>
        <w:t xml:space="preserve"> </w:t>
      </w:r>
      <w:r>
        <w:rPr>
          <w:rFonts w:ascii="宋体" w:hAnsi="宋体"/>
          <w:color w:val="auto"/>
          <w:sz w:val="24"/>
          <w:highlight w:val="none"/>
        </w:rPr>
        <w:t>_日</w:t>
      </w:r>
    </w:p>
    <w:p>
      <w:pPr>
        <w:spacing w:line="360" w:lineRule="auto"/>
        <w:jc w:val="center"/>
        <w:rPr>
          <w:rFonts w:ascii="宋体" w:hAnsi="宋体"/>
          <w:b/>
          <w:color w:val="auto"/>
          <w:sz w:val="30"/>
          <w:szCs w:val="30"/>
          <w:highlight w:val="none"/>
        </w:rPr>
      </w:pPr>
      <w:r>
        <w:rPr>
          <w:rFonts w:eastAsia="黑体"/>
          <w:color w:val="auto"/>
          <w:sz w:val="44"/>
          <w:szCs w:val="44"/>
          <w:highlight w:val="none"/>
        </w:rPr>
        <w:br w:type="page"/>
      </w:r>
      <w:r>
        <w:rPr>
          <w:rFonts w:hint="eastAsia" w:ascii="宋体" w:hAnsi="宋体"/>
          <w:b/>
          <w:color w:val="auto"/>
          <w:sz w:val="30"/>
          <w:szCs w:val="30"/>
          <w:highlight w:val="none"/>
        </w:rPr>
        <w:t>十二</w:t>
      </w:r>
      <w:r>
        <w:rPr>
          <w:rFonts w:ascii="宋体" w:hAnsi="宋体"/>
          <w:b/>
          <w:color w:val="auto"/>
          <w:sz w:val="30"/>
          <w:szCs w:val="30"/>
          <w:highlight w:val="none"/>
        </w:rPr>
        <w:t>、</w:t>
      </w:r>
      <w:r>
        <w:rPr>
          <w:rFonts w:hint="eastAsia" w:ascii="宋体" w:hAnsi="宋体"/>
          <w:b/>
          <w:color w:val="auto"/>
          <w:sz w:val="30"/>
          <w:szCs w:val="30"/>
          <w:highlight w:val="none"/>
        </w:rPr>
        <w:t>江苏省公路水运建设项目投标人信用承诺书</w:t>
      </w:r>
    </w:p>
    <w:p>
      <w:pPr>
        <w:spacing w:line="560" w:lineRule="exact"/>
        <w:rPr>
          <w:rFonts w:ascii="宋体" w:hAnsi="宋体" w:cs="宋体"/>
          <w:color w:val="auto"/>
          <w:spacing w:val="-5"/>
          <w:highlight w:val="none"/>
        </w:rPr>
      </w:pPr>
      <w:r>
        <w:rPr>
          <w:rFonts w:hint="eastAsia" w:ascii="宋体" w:hAnsi="宋体" w:cs="宋体"/>
          <w:color w:val="auto"/>
          <w:spacing w:val="-5"/>
          <w:highlight w:val="none"/>
        </w:rPr>
        <w:t>致：</w:t>
      </w:r>
      <w:r>
        <w:rPr>
          <w:rFonts w:hint="eastAsia" w:ascii="宋体" w:hAnsi="宋体" w:cs="宋体"/>
          <w:color w:val="auto"/>
          <w:sz w:val="24"/>
          <w:highlight w:val="none"/>
          <w:u w:val="single"/>
        </w:rPr>
        <w:t>南通洋吕铁路开发建设有限公司</w:t>
      </w:r>
    </w:p>
    <w:p>
      <w:p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我单位自愿参加</w:t>
      </w:r>
      <w:r>
        <w:rPr>
          <w:rFonts w:ascii="宋体" w:hAnsi="宋体" w:cs="宋体"/>
          <w:color w:val="auto"/>
          <w:spacing w:val="-5"/>
          <w:highlight w:val="none"/>
          <w:u w:val="single"/>
        </w:rPr>
        <w:t xml:space="preserve">                          </w:t>
      </w:r>
      <w:r>
        <w:rPr>
          <w:rFonts w:hint="eastAsia" w:ascii="宋体" w:hAnsi="宋体" w:cs="宋体"/>
          <w:color w:val="auto"/>
          <w:spacing w:val="-5"/>
          <w:highlight w:val="none"/>
        </w:rPr>
        <w:t>项目</w:t>
      </w:r>
      <w:r>
        <w:rPr>
          <w:rFonts w:ascii="宋体" w:hAnsi="宋体" w:cs="宋体"/>
          <w:color w:val="auto"/>
          <w:spacing w:val="-5"/>
          <w:highlight w:val="none"/>
          <w:u w:val="single"/>
        </w:rPr>
        <w:t xml:space="preserve">             </w:t>
      </w:r>
      <w:r>
        <w:rPr>
          <w:rFonts w:hint="eastAsia" w:ascii="宋体" w:hAnsi="宋体" w:cs="宋体"/>
          <w:color w:val="auto"/>
          <w:spacing w:val="-5"/>
          <w:highlight w:val="none"/>
        </w:rPr>
        <w:t>标段的投标活动，并郑重承诺：</w:t>
      </w:r>
    </w:p>
    <w:p>
      <w:pPr>
        <w:numPr>
          <w:ilvl w:val="0"/>
          <w:numId w:val="5"/>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在本项目的投标活动中遵守国家法律法规和交通运输行业有关规定，遵循公开、公平、公正和诚信原则。</w:t>
      </w:r>
    </w:p>
    <w:p>
      <w:pPr>
        <w:numPr>
          <w:ilvl w:val="0"/>
          <w:numId w:val="5"/>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投标文件中所有内容均为我单位真实意愿表达，相关信息真实有效。</w:t>
      </w:r>
    </w:p>
    <w:p>
      <w:pPr>
        <w:numPr>
          <w:ilvl w:val="0"/>
          <w:numId w:val="5"/>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无弄虚作假，无围标串标行为。</w:t>
      </w:r>
    </w:p>
    <w:p>
      <w:pPr>
        <w:numPr>
          <w:ilvl w:val="0"/>
          <w:numId w:val="5"/>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若我方中标，在合同履行过程中严格执行有关法律、法规、规章和规范性文件的规定，不转包和违法分包。</w:t>
      </w:r>
    </w:p>
    <w:p>
      <w:pPr>
        <w:numPr>
          <w:ilvl w:val="0"/>
          <w:numId w:val="5"/>
        </w:numPr>
        <w:spacing w:line="560" w:lineRule="exact"/>
        <w:ind w:firstLine="400" w:firstLineChars="200"/>
        <w:jc w:val="left"/>
        <w:rPr>
          <w:rFonts w:ascii="宋体" w:hAnsi="宋体" w:cs="宋体"/>
          <w:color w:val="auto"/>
          <w:spacing w:val="-5"/>
          <w:highlight w:val="none"/>
        </w:rPr>
      </w:pPr>
      <w:r>
        <w:rPr>
          <w:rFonts w:hint="eastAsia" w:ascii="宋体" w:hAnsi="宋体" w:cs="宋体"/>
          <w:color w:val="auto"/>
          <w:spacing w:val="-5"/>
          <w:highlight w:val="none"/>
        </w:rPr>
        <w:t>我方如有违背承诺，愿意接受国家和交通运输主管部门依法进行的处罚，以及按照信用管理规定记入相关责任主体和责任人信用档案，同时在交通运输行业和政府相关信用网站公开。</w:t>
      </w: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napToGrid w:val="0"/>
        <w:spacing w:line="360" w:lineRule="auto"/>
        <w:ind w:firstLine="4336" w:firstLineChars="1807"/>
        <w:rPr>
          <w:rFonts w:ascii="宋体"/>
          <w:color w:val="auto"/>
          <w:sz w:val="24"/>
          <w:highlight w:val="none"/>
        </w:rPr>
      </w:pPr>
      <w:r>
        <w:rPr>
          <w:rFonts w:hint="eastAsia" w:ascii="宋体" w:hAnsi="宋体" w:cs="宋体"/>
          <w:color w:val="auto"/>
          <w:sz w:val="24"/>
          <w:highlight w:val="none"/>
        </w:rPr>
        <w:t>承诺人：</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（盖单位公章）</w:t>
      </w:r>
      <w:r>
        <w:rPr>
          <w:rFonts w:ascii="宋体" w:hAnsi="宋体" w:cs="宋体"/>
          <w:color w:val="auto"/>
          <w:sz w:val="24"/>
          <w:highlight w:val="none"/>
          <w:u w:val="single"/>
        </w:rPr>
        <w:t xml:space="preserve">    </w:t>
      </w:r>
    </w:p>
    <w:p>
      <w:pPr>
        <w:snapToGrid w:val="0"/>
        <w:spacing w:line="360" w:lineRule="auto"/>
        <w:ind w:firstLine="4216" w:firstLineChars="1757"/>
        <w:rPr>
          <w:rFonts w:ascii="宋体"/>
          <w:color w:val="auto"/>
          <w:sz w:val="24"/>
          <w:highlight w:val="none"/>
        </w:rPr>
      </w:pPr>
      <w:r>
        <w:rPr>
          <w:rFonts w:hint="eastAsia" w:ascii="宋体" w:hAnsi="宋体" w:cs="宋体"/>
          <w:color w:val="auto"/>
          <w:sz w:val="24"/>
          <w:highlight w:val="none"/>
        </w:rPr>
        <w:t>承诺人法定代表人：</w:t>
      </w:r>
      <w:r>
        <w:rPr>
          <w:rFonts w:ascii="宋体" w:hAnsi="宋体" w:cs="宋体"/>
          <w:color w:val="auto"/>
          <w:sz w:val="24"/>
          <w:highlight w:val="none"/>
          <w:u w:val="single"/>
        </w:rPr>
        <w:t xml:space="preserve">   </w:t>
      </w:r>
      <w:r>
        <w:rPr>
          <w:rFonts w:hint="eastAsia" w:ascii="Arial" w:hAnsi="Arial" w:cs="宋体"/>
          <w:color w:val="auto"/>
          <w:sz w:val="24"/>
          <w:highlight w:val="none"/>
          <w:u w:val="single"/>
        </w:rPr>
        <w:t>（</w:t>
      </w:r>
      <w:r>
        <w:rPr>
          <w:rFonts w:hint="eastAsia" w:ascii="Arial" w:hAnsi="Arial" w:cs="宋体"/>
          <w:b/>
          <w:bCs/>
          <w:color w:val="auto"/>
          <w:sz w:val="24"/>
          <w:highlight w:val="none"/>
          <w:u w:val="single"/>
        </w:rPr>
        <w:t>亲笔签名</w:t>
      </w:r>
      <w:r>
        <w:rPr>
          <w:rFonts w:hint="eastAsia" w:ascii="Arial" w:hAnsi="Arial" w:cs="宋体"/>
          <w:color w:val="auto"/>
          <w:sz w:val="24"/>
          <w:highlight w:val="none"/>
          <w:u w:val="single"/>
        </w:rPr>
        <w:t>）</w:t>
      </w:r>
      <w:r>
        <w:rPr>
          <w:rFonts w:ascii="宋体" w:hAnsi="宋体" w:cs="宋体"/>
          <w:color w:val="auto"/>
          <w:sz w:val="24"/>
          <w:highlight w:val="none"/>
          <w:u w:val="single"/>
        </w:rPr>
        <w:t xml:space="preserve">  </w:t>
      </w:r>
    </w:p>
    <w:p>
      <w:pPr>
        <w:spacing w:line="440" w:lineRule="exact"/>
        <w:jc w:val="right"/>
        <w:rPr>
          <w:rFonts w:ascii="宋体" w:hAnsi="宋体"/>
          <w:color w:val="auto"/>
          <w:highlight w:val="none"/>
        </w:rPr>
      </w:pPr>
      <w:r>
        <w:rPr>
          <w:rFonts w:hint="eastAsia" w:ascii="宋体" w:hAnsi="宋体"/>
          <w:color w:val="auto"/>
          <w:highlight w:val="none"/>
        </w:rPr>
        <w:t>日期：</w:t>
      </w:r>
      <w:r>
        <w:rPr>
          <w:rFonts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rPr>
        <w:t>年</w:t>
      </w:r>
      <w:r>
        <w:rPr>
          <w:rFonts w:ascii="宋体" w:hAnsi="宋体"/>
          <w:color w:val="auto"/>
          <w:highlight w:val="none"/>
        </w:rPr>
        <w:t>_</w:t>
      </w:r>
      <w:r>
        <w:rPr>
          <w:rFonts w:ascii="宋体" w:hAnsi="宋体"/>
          <w:color w:val="auto"/>
          <w:highlight w:val="none"/>
          <w:u w:val="single"/>
        </w:rPr>
        <w:t xml:space="preserve"> _</w:t>
      </w:r>
      <w:r>
        <w:rPr>
          <w:rFonts w:hint="eastAsia" w:ascii="宋体" w:hAnsi="宋体"/>
          <w:color w:val="auto"/>
          <w:highlight w:val="none"/>
        </w:rPr>
        <w:t>月</w:t>
      </w:r>
      <w:r>
        <w:rPr>
          <w:rFonts w:ascii="宋体" w:hAnsi="宋体"/>
          <w:color w:val="auto"/>
          <w:highlight w:val="none"/>
        </w:rPr>
        <w:t>_</w:t>
      </w:r>
      <w:r>
        <w:rPr>
          <w:rFonts w:ascii="宋体" w:hAnsi="宋体"/>
          <w:color w:val="auto"/>
          <w:highlight w:val="none"/>
          <w:u w:val="single"/>
        </w:rPr>
        <w:t xml:space="preserve"> </w:t>
      </w:r>
      <w:r>
        <w:rPr>
          <w:rFonts w:ascii="宋体" w:hAnsi="宋体"/>
          <w:color w:val="auto"/>
          <w:highlight w:val="none"/>
        </w:rPr>
        <w:t>_日</w:t>
      </w: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560" w:lineRule="exact"/>
        <w:jc w:val="left"/>
        <w:rPr>
          <w:rFonts w:ascii="宋体" w:hAnsi="宋体" w:cs="宋体"/>
          <w:color w:val="auto"/>
          <w:spacing w:val="-5"/>
          <w:highlight w:val="none"/>
        </w:rPr>
      </w:pPr>
    </w:p>
    <w:p>
      <w:pPr>
        <w:spacing w:line="360" w:lineRule="auto"/>
        <w:jc w:val="center"/>
        <w:rPr>
          <w:rFonts w:ascii="宋体" w:hAnsi="宋体"/>
          <w:b/>
          <w:color w:val="auto"/>
          <w:sz w:val="30"/>
          <w:szCs w:val="30"/>
          <w:highlight w:val="none"/>
        </w:rPr>
      </w:pPr>
      <w:r>
        <w:rPr>
          <w:rFonts w:hint="eastAsia" w:ascii="宋体" w:hAnsi="宋体"/>
          <w:b/>
          <w:color w:val="auto"/>
          <w:sz w:val="30"/>
          <w:szCs w:val="30"/>
          <w:highlight w:val="none"/>
        </w:rPr>
        <w:t>十三、江苏公路水运建设市场主要从业人员信用承诺书</w:t>
      </w:r>
    </w:p>
    <w:p>
      <w:pPr>
        <w:spacing w:line="560" w:lineRule="exact"/>
        <w:ind w:firstLine="400" w:firstLineChars="200"/>
        <w:rPr>
          <w:rFonts w:ascii="宋体" w:hAnsi="宋体" w:cs="宋体"/>
          <w:color w:val="auto"/>
          <w:spacing w:val="-5"/>
          <w:highlight w:val="none"/>
        </w:rPr>
      </w:pPr>
    </w:p>
    <w:p>
      <w:pPr>
        <w:spacing w:line="560" w:lineRule="exact"/>
        <w:rPr>
          <w:rFonts w:ascii="宋体" w:hAnsi="宋体" w:cs="宋体"/>
          <w:color w:val="auto"/>
          <w:spacing w:val="-5"/>
          <w:highlight w:val="none"/>
        </w:rPr>
      </w:pPr>
      <w:r>
        <w:rPr>
          <w:rFonts w:hint="eastAsia" w:ascii="宋体" w:hAnsi="宋体" w:cs="宋体"/>
          <w:color w:val="auto"/>
          <w:spacing w:val="-5"/>
          <w:highlight w:val="none"/>
        </w:rPr>
        <w:t>本人自愿申请参加江苏省公路水运工程主要从业人员信用评价，在此郑重承诺：</w:t>
      </w:r>
    </w:p>
    <w:p>
      <w:pPr>
        <w:numPr>
          <w:ilvl w:val="0"/>
          <w:numId w:val="6"/>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在厅建设市场信用系统中录入的有关本人信用信息均由本人亲自确认，所有信息都是真实、准确的。</w:t>
      </w:r>
    </w:p>
    <w:p>
      <w:pPr>
        <w:numPr>
          <w:ilvl w:val="0"/>
          <w:numId w:val="6"/>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按照国家和省交通运输主管部门有关规定要求，及时更新和完善信用信息系统中相关信息。</w:t>
      </w:r>
    </w:p>
    <w:p>
      <w:pPr>
        <w:numPr>
          <w:ilvl w:val="0"/>
          <w:numId w:val="6"/>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同意依法在省交通运输主管部门网站和信用交通江苏网站公示、公布相关信用信息，接受社会监督。</w:t>
      </w:r>
    </w:p>
    <w:p>
      <w:pPr>
        <w:numPr>
          <w:ilvl w:val="0"/>
          <w:numId w:val="6"/>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同意政府相关行政主管部门、招标人及工程建设管理工作有关单位因工作需要，依法对本人信用信息进行查询。</w:t>
      </w:r>
    </w:p>
    <w:p>
      <w:pPr>
        <w:numPr>
          <w:ilvl w:val="0"/>
          <w:numId w:val="6"/>
        </w:numPr>
        <w:spacing w:line="560" w:lineRule="exact"/>
        <w:ind w:firstLine="400" w:firstLineChars="200"/>
        <w:rPr>
          <w:rFonts w:ascii="宋体" w:hAnsi="宋体" w:cs="宋体"/>
          <w:color w:val="auto"/>
          <w:spacing w:val="-5"/>
          <w:highlight w:val="none"/>
        </w:rPr>
      </w:pPr>
      <w:r>
        <w:rPr>
          <w:rFonts w:hint="eastAsia" w:ascii="宋体" w:hAnsi="宋体" w:cs="宋体"/>
          <w:color w:val="auto"/>
          <w:spacing w:val="-5"/>
          <w:highlight w:val="none"/>
        </w:rPr>
        <w:t>如有违背承诺，愿意接受国家和交通运输主管部门依法进行的处罚，以及按照信用管理规定记入本人信用档案，同时在交通运输行业和政府相关信用网站公开。</w:t>
      </w:r>
    </w:p>
    <w:p>
      <w:pPr>
        <w:spacing w:line="560" w:lineRule="exact"/>
        <w:ind w:firstLine="400" w:firstLineChars="200"/>
        <w:rPr>
          <w:rFonts w:ascii="宋体" w:hAnsi="宋体" w:cs="宋体"/>
          <w:color w:val="auto"/>
          <w:spacing w:val="-5"/>
          <w:highlight w:val="none"/>
        </w:rPr>
      </w:pPr>
    </w:p>
    <w:p>
      <w:pPr>
        <w:spacing w:line="560" w:lineRule="exact"/>
        <w:ind w:firstLine="1900" w:firstLineChars="950"/>
        <w:jc w:val="center"/>
        <w:rPr>
          <w:rFonts w:ascii="宋体" w:hAnsi="宋体" w:cs="宋体"/>
          <w:color w:val="auto"/>
          <w:spacing w:val="-5"/>
          <w:highlight w:val="none"/>
          <w:u w:val="single"/>
        </w:rPr>
      </w:pPr>
      <w:r>
        <w:rPr>
          <w:rFonts w:hint="eastAsia" w:ascii="宋体" w:hAnsi="宋体" w:cs="宋体"/>
          <w:color w:val="auto"/>
          <w:spacing w:val="-5"/>
          <w:highlight w:val="none"/>
        </w:rPr>
        <w:t>承诺人：</w:t>
      </w:r>
      <w:r>
        <w:rPr>
          <w:rFonts w:hint="eastAsia" w:ascii="宋体" w:hAnsi="宋体" w:cs="宋体"/>
          <w:color w:val="auto"/>
          <w:highlight w:val="none"/>
          <w:u w:val="single"/>
        </w:rPr>
        <w:t>（</w:t>
      </w:r>
      <w:r>
        <w:rPr>
          <w:rFonts w:hint="eastAsia" w:ascii="黑体" w:hAnsi="黑体" w:eastAsia="黑体" w:cs="黑体"/>
          <w:b/>
          <w:color w:val="auto"/>
          <w:spacing w:val="-2"/>
          <w:highlight w:val="none"/>
          <w:u w:val="single"/>
        </w:rPr>
        <w:t>亲笔签名</w:t>
      </w:r>
      <w:r>
        <w:rPr>
          <w:rFonts w:hint="eastAsia" w:ascii="宋体" w:hAnsi="宋体" w:cs="宋体"/>
          <w:color w:val="auto"/>
          <w:highlight w:val="none"/>
          <w:u w:val="single"/>
        </w:rPr>
        <w:t>）</w:t>
      </w:r>
    </w:p>
    <w:p>
      <w:pPr>
        <w:spacing w:line="300" w:lineRule="exact"/>
        <w:ind w:firstLine="6825" w:firstLineChars="3250"/>
        <w:rPr>
          <w:rFonts w:ascii="宋体" w:hAnsi="宋体" w:cs="宋体"/>
          <w:color w:val="auto"/>
          <w:sz w:val="24"/>
          <w:highlight w:val="none"/>
        </w:rPr>
      </w:pPr>
      <w:r>
        <w:rPr>
          <w:rFonts w:ascii="宋体" w:hAnsi="宋体"/>
          <w:color w:val="auto"/>
          <w:highlight w:val="none"/>
          <w:u w:val="single"/>
        </w:rPr>
        <w:t xml:space="preserve">    </w:t>
      </w:r>
      <w:r>
        <w:rPr>
          <w:rFonts w:hint="eastAsia" w:ascii="宋体" w:hAnsi="宋体"/>
          <w:color w:val="auto"/>
          <w:highlight w:val="none"/>
        </w:rPr>
        <w:t>年</w:t>
      </w:r>
      <w:r>
        <w:rPr>
          <w:rFonts w:ascii="宋体" w:hAnsi="宋体"/>
          <w:color w:val="auto"/>
          <w:highlight w:val="none"/>
        </w:rPr>
        <w:t>_</w:t>
      </w:r>
      <w:r>
        <w:rPr>
          <w:rFonts w:ascii="宋体" w:hAnsi="宋体"/>
          <w:color w:val="auto"/>
          <w:highlight w:val="none"/>
          <w:u w:val="single"/>
        </w:rPr>
        <w:t xml:space="preserve"> _</w:t>
      </w:r>
      <w:r>
        <w:rPr>
          <w:rFonts w:hint="eastAsia" w:ascii="宋体" w:hAnsi="宋体"/>
          <w:color w:val="auto"/>
          <w:highlight w:val="none"/>
        </w:rPr>
        <w:t>月</w:t>
      </w:r>
      <w:r>
        <w:rPr>
          <w:rFonts w:ascii="宋体" w:hAnsi="宋体"/>
          <w:color w:val="auto"/>
          <w:highlight w:val="none"/>
        </w:rPr>
        <w:t>_</w:t>
      </w:r>
      <w:r>
        <w:rPr>
          <w:rFonts w:ascii="宋体" w:hAnsi="宋体"/>
          <w:color w:val="auto"/>
          <w:highlight w:val="none"/>
          <w:u w:val="single"/>
        </w:rPr>
        <w:t xml:space="preserve"> </w:t>
      </w:r>
      <w:r>
        <w:rPr>
          <w:rFonts w:ascii="宋体" w:hAnsi="宋体"/>
          <w:color w:val="auto"/>
          <w:highlight w:val="none"/>
        </w:rPr>
        <w:t>_日</w:t>
      </w:r>
    </w:p>
    <w:p>
      <w:pPr>
        <w:spacing w:line="300" w:lineRule="exact"/>
        <w:rPr>
          <w:rFonts w:ascii="宋体" w:hAnsi="宋体" w:cs="宋体"/>
          <w:color w:val="auto"/>
          <w:sz w:val="24"/>
          <w:highlight w:val="none"/>
        </w:rPr>
      </w:pPr>
    </w:p>
    <w:p>
      <w:pPr>
        <w:spacing w:line="300" w:lineRule="exact"/>
        <w:rPr>
          <w:rFonts w:ascii="宋体" w:hAnsi="宋体" w:cs="宋体"/>
          <w:b/>
          <w:bCs/>
          <w:color w:val="auto"/>
          <w:highlight w:val="none"/>
        </w:rPr>
      </w:pPr>
      <w:r>
        <w:rPr>
          <w:rFonts w:hint="eastAsia" w:ascii="宋体" w:hAnsi="宋体" w:cs="宋体"/>
          <w:b/>
          <w:bCs/>
          <w:color w:val="auto"/>
          <w:highlight w:val="none"/>
        </w:rPr>
        <w:t>注：本承诺书主要从业人员为拟投入本项目的项目经理，需由拟投入本项目的项目经理在签名处签名或签章。</w:t>
      </w:r>
    </w:p>
    <w:p>
      <w:pPr>
        <w:spacing w:line="560" w:lineRule="exact"/>
        <w:jc w:val="left"/>
        <w:rPr>
          <w:rFonts w:ascii="宋体" w:hAnsi="宋体" w:cs="宋体"/>
          <w:color w:val="auto"/>
          <w:spacing w:val="-5"/>
          <w:highlight w:val="none"/>
        </w:rPr>
      </w:pPr>
      <w:r>
        <w:rPr>
          <w:color w:val="auto"/>
          <w:highlight w:val="none"/>
        </w:rPr>
        <w:br w:type="page"/>
      </w:r>
    </w:p>
    <w:p>
      <w:pPr>
        <w:spacing w:line="360" w:lineRule="auto"/>
        <w:jc w:val="center"/>
        <w:rPr>
          <w:rFonts w:ascii="宋体" w:hAnsi="宋体"/>
          <w:b/>
          <w:color w:val="auto"/>
          <w:sz w:val="30"/>
          <w:szCs w:val="30"/>
          <w:highlight w:val="none"/>
        </w:rPr>
      </w:pPr>
      <w:r>
        <w:rPr>
          <w:rFonts w:hint="eastAsia" w:ascii="宋体" w:hAnsi="宋体"/>
          <w:b/>
          <w:color w:val="auto"/>
          <w:sz w:val="30"/>
          <w:szCs w:val="30"/>
          <w:highlight w:val="none"/>
        </w:rPr>
        <w:t>十四、其他材料（如有）</w:t>
      </w:r>
    </w:p>
    <w:p>
      <w:pPr>
        <w:spacing w:line="400" w:lineRule="exact"/>
        <w:jc w:val="center"/>
        <w:rPr>
          <w:rFonts w:ascii="宋体" w:hAnsi="宋体"/>
          <w:b/>
          <w:bCs/>
          <w:color w:val="auto"/>
          <w:sz w:val="32"/>
          <w:szCs w:val="20"/>
          <w:highlight w:val="none"/>
        </w:rPr>
      </w:pPr>
    </w:p>
    <w:p>
      <w:pPr>
        <w:pStyle w:val="255"/>
        <w:spacing w:before="120" w:beforeLines="50" w:after="120" w:afterLines="50" w:line="360" w:lineRule="auto"/>
        <w:rPr>
          <w:rFonts w:ascii="宋体" w:hAnsi="宋体"/>
          <w:color w:val="auto"/>
          <w:sz w:val="24"/>
          <w:highlight w:val="none"/>
        </w:rPr>
      </w:pPr>
      <w:r>
        <w:rPr>
          <w:rFonts w:hint="eastAsia" w:ascii="宋体" w:hAnsi="宋体"/>
          <w:color w:val="auto"/>
          <w:sz w:val="24"/>
          <w:highlight w:val="none"/>
        </w:rPr>
        <w:t>投标人认为有必要提交给评标委员会的其他材料。</w:t>
      </w:r>
    </w:p>
    <w:bookmarkEnd w:id="111"/>
    <w:bookmarkEnd w:id="112"/>
    <w:bookmarkEnd w:id="113"/>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jc w:val="center"/>
        <w:rPr>
          <w:color w:val="auto"/>
          <w:sz w:val="48"/>
          <w:szCs w:val="48"/>
          <w:highlight w:val="none"/>
        </w:rPr>
      </w:pPr>
    </w:p>
    <w:p>
      <w:pPr>
        <w:spacing w:line="400" w:lineRule="exact"/>
        <w:outlineLvl w:val="0"/>
        <w:rPr>
          <w:color w:val="auto"/>
          <w:highlight w:val="none"/>
        </w:rPr>
      </w:pPr>
      <w:bookmarkStart w:id="119" w:name="_Toc26589"/>
      <w:bookmarkStart w:id="120" w:name="_Toc20204"/>
      <w:r>
        <w:rPr>
          <w:rFonts w:hint="eastAsia" w:cs="宋体"/>
          <w:b/>
          <w:bCs/>
          <w:color w:val="auto"/>
          <w:sz w:val="32"/>
          <w:szCs w:val="32"/>
          <w:highlight w:val="none"/>
        </w:rPr>
        <w:t>第二个信封封面格式</w:t>
      </w:r>
      <w:bookmarkEnd w:id="119"/>
      <w:bookmarkEnd w:id="120"/>
    </w:p>
    <w:p>
      <w:pPr>
        <w:jc w:val="center"/>
        <w:rPr>
          <w:color w:val="auto"/>
          <w:sz w:val="28"/>
          <w:szCs w:val="28"/>
          <w:highlight w:val="none"/>
        </w:rPr>
      </w:pPr>
    </w:p>
    <w:p>
      <w:pPr>
        <w:jc w:val="center"/>
        <w:outlineLvl w:val="0"/>
        <w:rPr>
          <w:color w:val="auto"/>
          <w:sz w:val="44"/>
          <w:szCs w:val="44"/>
          <w:highlight w:val="none"/>
        </w:rPr>
      </w:pPr>
      <w:bookmarkStart w:id="121" w:name="_Toc1741"/>
      <w:r>
        <w:rPr>
          <w:rFonts w:hint="eastAsia" w:cs="黑体"/>
          <w:color w:val="auto"/>
          <w:sz w:val="44"/>
          <w:szCs w:val="44"/>
          <w:highlight w:val="none"/>
        </w:rPr>
        <w:t>东灶港站物流配套项目甲供土方运输项目</w:t>
      </w:r>
      <w:bookmarkEnd w:id="121"/>
    </w:p>
    <w:p>
      <w:pPr>
        <w:jc w:val="center"/>
        <w:outlineLvl w:val="0"/>
        <w:rPr>
          <w:color w:val="auto"/>
          <w:highlight w:val="none"/>
          <w:u w:val="single"/>
        </w:rPr>
      </w:pPr>
      <w:bookmarkStart w:id="122" w:name="_Toc24340"/>
      <w:bookmarkStart w:id="123" w:name="_Toc14597"/>
      <w:r>
        <w:rPr>
          <w:rFonts w:hint="eastAsia" w:cs="黑体"/>
          <w:color w:val="auto"/>
          <w:sz w:val="44"/>
          <w:szCs w:val="44"/>
          <w:highlight w:val="none"/>
        </w:rPr>
        <w:t>2021TFYS标段</w:t>
      </w:r>
      <w:bookmarkEnd w:id="122"/>
      <w:bookmarkEnd w:id="123"/>
    </w:p>
    <w:p>
      <w:pPr>
        <w:jc w:val="center"/>
        <w:rPr>
          <w:color w:val="auto"/>
          <w:sz w:val="44"/>
          <w:szCs w:val="44"/>
          <w:highlight w:val="none"/>
        </w:rPr>
      </w:pPr>
    </w:p>
    <w:p>
      <w:pPr>
        <w:rPr>
          <w:color w:val="auto"/>
          <w:sz w:val="20"/>
          <w:szCs w:val="20"/>
          <w:highlight w:val="none"/>
        </w:rPr>
      </w:pPr>
    </w:p>
    <w:p>
      <w:pPr>
        <w:rPr>
          <w:color w:val="auto"/>
          <w:sz w:val="20"/>
          <w:szCs w:val="20"/>
          <w:highlight w:val="none"/>
        </w:rPr>
      </w:pPr>
    </w:p>
    <w:p>
      <w:pPr>
        <w:rPr>
          <w:color w:val="auto"/>
          <w:sz w:val="20"/>
          <w:szCs w:val="20"/>
          <w:highlight w:val="none"/>
        </w:rPr>
      </w:pPr>
    </w:p>
    <w:p>
      <w:pPr>
        <w:jc w:val="center"/>
        <w:rPr>
          <w:color w:val="auto"/>
          <w:sz w:val="52"/>
          <w:szCs w:val="52"/>
          <w:highlight w:val="none"/>
        </w:rPr>
      </w:pPr>
    </w:p>
    <w:p>
      <w:pPr>
        <w:jc w:val="center"/>
        <w:rPr>
          <w:color w:val="auto"/>
          <w:sz w:val="52"/>
          <w:szCs w:val="52"/>
          <w:highlight w:val="none"/>
        </w:rPr>
      </w:pPr>
    </w:p>
    <w:p>
      <w:pPr>
        <w:jc w:val="center"/>
        <w:outlineLvl w:val="0"/>
        <w:rPr>
          <w:color w:val="auto"/>
          <w:sz w:val="72"/>
          <w:szCs w:val="72"/>
          <w:highlight w:val="none"/>
        </w:rPr>
      </w:pPr>
      <w:bookmarkStart w:id="124" w:name="_Toc25258"/>
      <w:bookmarkStart w:id="125" w:name="_Toc924"/>
      <w:r>
        <w:rPr>
          <w:rFonts w:hint="eastAsia" w:cs="宋体"/>
          <w:color w:val="auto"/>
          <w:sz w:val="72"/>
          <w:szCs w:val="72"/>
          <w:highlight w:val="none"/>
        </w:rPr>
        <w:t>投标文件</w:t>
      </w:r>
      <w:bookmarkEnd w:id="124"/>
      <w:bookmarkEnd w:id="125"/>
    </w:p>
    <w:p>
      <w:pPr>
        <w:ind w:right="18"/>
        <w:jc w:val="center"/>
        <w:rPr>
          <w:b/>
          <w:bCs/>
          <w:color w:val="auto"/>
          <w:sz w:val="44"/>
          <w:szCs w:val="44"/>
          <w:highlight w:val="none"/>
        </w:rPr>
      </w:pPr>
    </w:p>
    <w:p>
      <w:pPr>
        <w:ind w:right="18"/>
        <w:jc w:val="center"/>
        <w:outlineLvl w:val="1"/>
        <w:rPr>
          <w:b/>
          <w:bCs/>
          <w:color w:val="auto"/>
          <w:sz w:val="44"/>
          <w:szCs w:val="44"/>
          <w:highlight w:val="none"/>
        </w:rPr>
      </w:pPr>
      <w:bookmarkStart w:id="126" w:name="_Toc362333683"/>
      <w:bookmarkStart w:id="127" w:name="_Toc365358516"/>
      <w:bookmarkStart w:id="128" w:name="_Toc291352487"/>
      <w:bookmarkStart w:id="129" w:name="_Toc350188287"/>
      <w:r>
        <w:rPr>
          <w:rFonts w:hint="eastAsia" w:cs="宋体"/>
          <w:b/>
          <w:bCs/>
          <w:color w:val="auto"/>
          <w:sz w:val="44"/>
          <w:szCs w:val="44"/>
          <w:highlight w:val="none"/>
        </w:rPr>
        <w:t>（第二个信封</w:t>
      </w:r>
      <w:bookmarkEnd w:id="126"/>
      <w:bookmarkEnd w:id="127"/>
      <w:bookmarkEnd w:id="128"/>
      <w:bookmarkEnd w:id="129"/>
      <w:r>
        <w:rPr>
          <w:rFonts w:hint="eastAsia" w:cs="宋体"/>
          <w:b/>
          <w:bCs/>
          <w:color w:val="auto"/>
          <w:sz w:val="44"/>
          <w:szCs w:val="44"/>
          <w:highlight w:val="none"/>
        </w:rPr>
        <w:t>报价文件）</w:t>
      </w: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ind w:firstLine="1818" w:firstLineChars="505"/>
        <w:outlineLvl w:val="0"/>
        <w:rPr>
          <w:color w:val="auto"/>
          <w:sz w:val="36"/>
          <w:szCs w:val="36"/>
          <w:highlight w:val="none"/>
        </w:rPr>
      </w:pPr>
      <w:bookmarkStart w:id="130" w:name="_Toc29624"/>
      <w:bookmarkStart w:id="131" w:name="_Toc28568"/>
      <w:r>
        <w:rPr>
          <w:rFonts w:hint="eastAsia" w:cs="宋体"/>
          <w:color w:val="auto"/>
          <w:sz w:val="36"/>
          <w:szCs w:val="36"/>
          <w:highlight w:val="none"/>
        </w:rPr>
        <w:t>投标人：</w:t>
      </w:r>
      <w:bookmarkEnd w:id="130"/>
      <w:bookmarkEnd w:id="131"/>
    </w:p>
    <w:p>
      <w:pPr>
        <w:jc w:val="center"/>
        <w:outlineLvl w:val="0"/>
        <w:rPr>
          <w:color w:val="auto"/>
          <w:sz w:val="36"/>
          <w:szCs w:val="36"/>
          <w:highlight w:val="none"/>
        </w:rPr>
      </w:pPr>
      <w:bookmarkStart w:id="132" w:name="_Toc28656"/>
      <w:bookmarkStart w:id="133" w:name="_Toc2797"/>
      <w:r>
        <w:rPr>
          <w:rFonts w:hint="eastAsia" w:cs="宋体"/>
          <w:color w:val="auto"/>
          <w:sz w:val="36"/>
          <w:szCs w:val="36"/>
          <w:highlight w:val="none"/>
        </w:rPr>
        <w:t>年月日</w:t>
      </w:r>
      <w:bookmarkEnd w:id="132"/>
      <w:bookmarkEnd w:id="133"/>
    </w:p>
    <w:p>
      <w:pPr>
        <w:spacing w:line="400" w:lineRule="exact"/>
        <w:jc w:val="center"/>
        <w:rPr>
          <w:color w:val="auto"/>
          <w:highlight w:val="none"/>
        </w:rPr>
      </w:pPr>
      <w:r>
        <w:rPr>
          <w:color w:val="auto"/>
          <w:highlight w:val="none"/>
        </w:rPr>
        <w:br w:type="page"/>
      </w:r>
    </w:p>
    <w:p>
      <w:pPr>
        <w:ind w:left="-3" w:leftChars="-405" w:hanging="847" w:hangingChars="211"/>
        <w:jc w:val="center"/>
        <w:outlineLvl w:val="0"/>
        <w:rPr>
          <w:b/>
          <w:bCs/>
          <w:color w:val="auto"/>
          <w:sz w:val="40"/>
          <w:szCs w:val="40"/>
          <w:highlight w:val="none"/>
        </w:rPr>
      </w:pPr>
      <w:bookmarkStart w:id="134" w:name="_Toc8468"/>
      <w:bookmarkStart w:id="135" w:name="_Toc5891"/>
      <w:r>
        <w:rPr>
          <w:rFonts w:hint="eastAsia" w:cs="宋体"/>
          <w:b/>
          <w:bCs/>
          <w:color w:val="auto"/>
          <w:sz w:val="40"/>
          <w:szCs w:val="40"/>
          <w:highlight w:val="none"/>
        </w:rPr>
        <w:t>目录</w:t>
      </w:r>
      <w:bookmarkEnd w:id="134"/>
      <w:bookmarkEnd w:id="135"/>
    </w:p>
    <w:p>
      <w:pPr>
        <w:rPr>
          <w:b/>
          <w:bCs/>
          <w:color w:val="auto"/>
          <w:sz w:val="24"/>
          <w:szCs w:val="24"/>
          <w:highlight w:val="none"/>
        </w:rPr>
      </w:pPr>
    </w:p>
    <w:p>
      <w:pPr>
        <w:pStyle w:val="131"/>
        <w:spacing w:before="120" w:after="120"/>
        <w:ind w:left="1680" w:leftChars="800" w:firstLine="959" w:firstLineChars="398"/>
        <w:rPr>
          <w:b/>
          <w:bCs/>
          <w:color w:val="auto"/>
          <w:sz w:val="24"/>
          <w:szCs w:val="24"/>
          <w:highlight w:val="none"/>
        </w:rPr>
      </w:pPr>
      <w:bookmarkStart w:id="136" w:name="_Toc243736133"/>
    </w:p>
    <w:p>
      <w:pPr>
        <w:pStyle w:val="131"/>
        <w:spacing w:before="120" w:after="120"/>
        <w:ind w:firstLine="1673" w:firstLineChars="595"/>
        <w:outlineLvl w:val="0"/>
        <w:rPr>
          <w:b/>
          <w:bCs/>
          <w:color w:val="auto"/>
          <w:sz w:val="28"/>
          <w:szCs w:val="28"/>
          <w:highlight w:val="none"/>
        </w:rPr>
      </w:pPr>
      <w:bookmarkStart w:id="137" w:name="_Toc11057"/>
      <w:bookmarkStart w:id="138" w:name="_Toc14836"/>
      <w:r>
        <w:rPr>
          <w:rFonts w:hint="eastAsia" w:cs="宋体"/>
          <w:b/>
          <w:bCs/>
          <w:color w:val="auto"/>
          <w:sz w:val="28"/>
          <w:szCs w:val="28"/>
          <w:highlight w:val="none"/>
        </w:rPr>
        <w:t>一、投标函</w:t>
      </w:r>
      <w:bookmarkEnd w:id="137"/>
      <w:bookmarkEnd w:id="138"/>
    </w:p>
    <w:bookmarkEnd w:id="136"/>
    <w:p>
      <w:pPr>
        <w:jc w:val="center"/>
        <w:outlineLvl w:val="0"/>
        <w:rPr>
          <w:rFonts w:cs="宋体"/>
          <w:b/>
          <w:bCs/>
          <w:color w:val="auto"/>
          <w:sz w:val="30"/>
          <w:szCs w:val="30"/>
          <w:highlight w:val="none"/>
        </w:rPr>
      </w:pPr>
      <w:r>
        <w:rPr>
          <w:b/>
          <w:bCs/>
          <w:color w:val="auto"/>
          <w:sz w:val="30"/>
          <w:szCs w:val="30"/>
          <w:highlight w:val="none"/>
        </w:rPr>
        <w:br w:type="page"/>
      </w:r>
      <w:bookmarkStart w:id="139" w:name="_Toc29540"/>
      <w:bookmarkStart w:id="140" w:name="_Toc28726"/>
      <w:r>
        <w:rPr>
          <w:rFonts w:hint="eastAsia" w:cs="宋体"/>
          <w:b/>
          <w:bCs/>
          <w:color w:val="auto"/>
          <w:sz w:val="30"/>
          <w:szCs w:val="30"/>
          <w:highlight w:val="none"/>
        </w:rPr>
        <w:t>一、投标函</w:t>
      </w:r>
      <w:bookmarkEnd w:id="139"/>
      <w:bookmarkEnd w:id="140"/>
    </w:p>
    <w:p>
      <w:pPr>
        <w:jc w:val="center"/>
        <w:outlineLvl w:val="0"/>
        <w:rPr>
          <w:b/>
          <w:bCs/>
          <w:color w:val="auto"/>
          <w:sz w:val="30"/>
          <w:szCs w:val="30"/>
          <w:highlight w:val="none"/>
        </w:rPr>
      </w:pPr>
    </w:p>
    <w:p>
      <w:pPr>
        <w:spacing w:line="440" w:lineRule="exact"/>
        <w:rPr>
          <w:rFonts w:ascii="宋体" w:hAnsi="宋体"/>
          <w:color w:val="auto"/>
          <w:sz w:val="24"/>
          <w:szCs w:val="24"/>
          <w:highlight w:val="none"/>
        </w:rPr>
      </w:pPr>
      <w:r>
        <w:rPr>
          <w:rFonts w:ascii="宋体" w:hAnsi="宋体"/>
          <w:color w:val="auto"/>
          <w:sz w:val="24"/>
          <w:szCs w:val="24"/>
          <w:highlight w:val="none"/>
          <w:u w:val="single"/>
        </w:rPr>
        <w:t xml:space="preserve">                        </w:t>
      </w:r>
      <w:r>
        <w:rPr>
          <w:rFonts w:ascii="宋体" w:hAnsi="宋体"/>
          <w:color w:val="auto"/>
          <w:sz w:val="24"/>
          <w:szCs w:val="24"/>
          <w:highlight w:val="none"/>
        </w:rPr>
        <w:t>（招标人名称）：</w:t>
      </w:r>
    </w:p>
    <w:p>
      <w:pPr>
        <w:spacing w:line="440" w:lineRule="exact"/>
        <w:rPr>
          <w:rFonts w:ascii="宋体" w:hAnsi="宋体"/>
          <w:color w:val="auto"/>
          <w:highlight w:val="none"/>
        </w:rPr>
      </w:pPr>
    </w:p>
    <w:p>
      <w:pPr>
        <w:spacing w:line="360" w:lineRule="auto"/>
        <w:ind w:firstLine="480" w:firstLineChars="200"/>
        <w:rPr>
          <w:rFonts w:hAnsi="宋体"/>
          <w:color w:val="auto"/>
          <w:sz w:val="24"/>
          <w:highlight w:val="none"/>
        </w:rPr>
      </w:pPr>
      <w:r>
        <w:rPr>
          <w:rFonts w:hAnsi="宋体"/>
          <w:color w:val="auto"/>
          <w:sz w:val="24"/>
          <w:highlight w:val="none"/>
        </w:rPr>
        <w:t>1</w:t>
      </w:r>
      <w:r>
        <w:rPr>
          <w:rFonts w:hint="eastAsia" w:hAnsi="宋体"/>
          <w:color w:val="auto"/>
          <w:sz w:val="24"/>
          <w:highlight w:val="none"/>
        </w:rPr>
        <w:t>．我方已仔细研究</w:t>
      </w:r>
      <w:r>
        <w:rPr>
          <w:rFonts w:hAnsi="宋体"/>
          <w:color w:val="auto"/>
          <w:sz w:val="24"/>
          <w:highlight w:val="none"/>
        </w:rPr>
        <w:t xml:space="preserve"> </w:t>
      </w:r>
      <w:r>
        <w:rPr>
          <w:rFonts w:hAnsi="宋体"/>
          <w:color w:val="auto"/>
          <w:sz w:val="24"/>
          <w:highlight w:val="none"/>
          <w:u w:val="single"/>
        </w:rPr>
        <w:t xml:space="preserve">                      </w:t>
      </w:r>
      <w:r>
        <w:rPr>
          <w:rFonts w:hint="eastAsia" w:hAnsi="宋体"/>
          <w:color w:val="auto"/>
          <w:sz w:val="24"/>
          <w:highlight w:val="none"/>
        </w:rPr>
        <w:t>（项目名称）</w:t>
      </w:r>
      <w:r>
        <w:rPr>
          <w:rFonts w:hAnsi="宋体"/>
          <w:color w:val="auto"/>
          <w:sz w:val="24"/>
          <w:highlight w:val="none"/>
          <w:u w:val="single"/>
        </w:rPr>
        <w:t xml:space="preserve">        </w:t>
      </w:r>
      <w:r>
        <w:rPr>
          <w:rFonts w:hint="eastAsia" w:hAnsi="宋体"/>
          <w:color w:val="auto"/>
          <w:sz w:val="24"/>
          <w:highlight w:val="none"/>
        </w:rPr>
        <w:t>标段施工招标文件的全部内容（含补遗书第</w:t>
      </w:r>
      <w:r>
        <w:rPr>
          <w:rFonts w:hAnsi="宋体"/>
          <w:color w:val="auto"/>
          <w:sz w:val="24"/>
          <w:highlight w:val="none"/>
        </w:rPr>
        <w:t>___</w:t>
      </w:r>
      <w:r>
        <w:rPr>
          <w:rFonts w:hint="eastAsia" w:hAnsi="宋体"/>
          <w:color w:val="auto"/>
          <w:sz w:val="24"/>
          <w:highlight w:val="none"/>
        </w:rPr>
        <w:t>号至第</w:t>
      </w:r>
      <w:r>
        <w:rPr>
          <w:rFonts w:hAnsi="宋体"/>
          <w:color w:val="auto"/>
          <w:sz w:val="24"/>
          <w:highlight w:val="none"/>
        </w:rPr>
        <w:t>___</w:t>
      </w:r>
      <w:r>
        <w:rPr>
          <w:rFonts w:hint="eastAsia" w:hAnsi="宋体"/>
          <w:color w:val="auto"/>
          <w:sz w:val="24"/>
          <w:highlight w:val="none"/>
        </w:rPr>
        <w:t>号），在考察工程现场后，愿意以人民币</w:t>
      </w:r>
      <w:r>
        <w:rPr>
          <w:rFonts w:hint="eastAsia" w:hAnsi="宋体"/>
          <w:color w:val="auto"/>
          <w:sz w:val="24"/>
          <w:highlight w:val="none"/>
          <w:lang w:val="en-US" w:eastAsia="zh-CN"/>
        </w:rPr>
        <w:t>大写</w:t>
      </w:r>
      <w:r>
        <w:rPr>
          <w:rFonts w:hAnsi="宋体"/>
          <w:color w:val="auto"/>
          <w:sz w:val="24"/>
          <w:highlight w:val="none"/>
        </w:rPr>
        <w:t xml:space="preserve"> </w:t>
      </w:r>
      <w:r>
        <w:rPr>
          <w:rFonts w:hAnsi="宋体"/>
          <w:color w:val="auto"/>
          <w:sz w:val="24"/>
          <w:highlight w:val="none"/>
          <w:u w:val="single"/>
        </w:rPr>
        <w:t xml:space="preserve">                  </w:t>
      </w:r>
      <w:r>
        <w:rPr>
          <w:rFonts w:hint="eastAsia" w:hAnsi="宋体"/>
          <w:color w:val="auto"/>
          <w:sz w:val="24"/>
          <w:highlight w:val="none"/>
        </w:rPr>
        <w:t>元/立方米</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hAnsi="宋体"/>
          <w:color w:val="auto"/>
          <w:sz w:val="24"/>
          <w:highlight w:val="none"/>
        </w:rPr>
        <w:t>元/立方米</w:t>
      </w:r>
      <w:r>
        <w:rPr>
          <w:rFonts w:hint="eastAsia" w:hAnsi="宋体"/>
          <w:color w:val="auto"/>
          <w:sz w:val="24"/>
          <w:highlight w:val="none"/>
          <w:lang w:eastAsia="zh-CN"/>
        </w:rPr>
        <w:t>）</w:t>
      </w:r>
      <w:r>
        <w:rPr>
          <w:rFonts w:hint="eastAsia" w:hAnsi="宋体"/>
          <w:color w:val="auto"/>
          <w:sz w:val="24"/>
          <w:highlight w:val="none"/>
        </w:rPr>
        <w:t>（小数点保留后两位）的投标报价（综合单价），按合同约定实施和完成承包工程，修补工程中的任何缺陷。</w:t>
      </w:r>
      <w:r>
        <w:rPr>
          <w:rFonts w:hAnsi="宋体"/>
          <w:color w:val="auto"/>
          <w:sz w:val="24"/>
          <w:highlight w:val="none"/>
        </w:rPr>
        <w:t xml:space="preserve"> </w:t>
      </w:r>
    </w:p>
    <w:p>
      <w:pPr>
        <w:spacing w:line="360" w:lineRule="auto"/>
        <w:ind w:firstLine="480" w:firstLineChars="200"/>
        <w:rPr>
          <w:rFonts w:hAnsi="宋体"/>
          <w:color w:val="auto"/>
          <w:sz w:val="24"/>
          <w:highlight w:val="none"/>
        </w:rPr>
      </w:pPr>
      <w:r>
        <w:rPr>
          <w:rFonts w:hAnsi="宋体"/>
          <w:color w:val="auto"/>
          <w:sz w:val="24"/>
          <w:highlight w:val="none"/>
        </w:rPr>
        <w:t>2</w:t>
      </w:r>
      <w:r>
        <w:rPr>
          <w:rFonts w:hint="eastAsia" w:hAnsi="宋体"/>
          <w:color w:val="auto"/>
          <w:sz w:val="24"/>
          <w:highlight w:val="none"/>
        </w:rPr>
        <w:t>．在合同协议书正式签署生效之前，本投标函连同你方的中标通知书将构成我</w:t>
      </w:r>
      <w:r>
        <w:rPr>
          <w:rFonts w:hAnsi="宋体"/>
          <w:color w:val="auto"/>
          <w:sz w:val="24"/>
          <w:highlight w:val="none"/>
        </w:rPr>
        <w:t xml:space="preserve"> </w:t>
      </w:r>
      <w:r>
        <w:rPr>
          <w:rFonts w:hint="eastAsia" w:hAnsi="宋体"/>
          <w:color w:val="auto"/>
          <w:sz w:val="24"/>
          <w:highlight w:val="none"/>
        </w:rPr>
        <w:t>们双方之间共同遵守的文件，对双方具有约束力。</w:t>
      </w:r>
    </w:p>
    <w:p>
      <w:pPr>
        <w:spacing w:line="360" w:lineRule="auto"/>
        <w:ind w:firstLine="480" w:firstLineChars="200"/>
        <w:rPr>
          <w:color w:val="auto"/>
          <w:sz w:val="24"/>
          <w:highlight w:val="none"/>
        </w:rPr>
      </w:pPr>
      <w:r>
        <w:rPr>
          <w:rFonts w:hAnsi="宋体"/>
          <w:color w:val="auto"/>
          <w:sz w:val="24"/>
          <w:highlight w:val="none"/>
        </w:rPr>
        <w:t xml:space="preserve"> 3</w:t>
      </w:r>
      <w:r>
        <w:rPr>
          <w:rFonts w:hint="eastAsia" w:hAnsi="宋体"/>
          <w:color w:val="auto"/>
          <w:sz w:val="24"/>
          <w:highlight w:val="none"/>
        </w:rPr>
        <w:t>．</w:t>
      </w:r>
      <w:r>
        <w:rPr>
          <w:rFonts w:hAnsi="宋体"/>
          <w:color w:val="auto"/>
          <w:sz w:val="24"/>
          <w:highlight w:val="none"/>
          <w:u w:val="single"/>
        </w:rPr>
        <w:t xml:space="preserve">                                       </w:t>
      </w:r>
      <w:r>
        <w:rPr>
          <w:rFonts w:hint="eastAsia" w:hAnsi="宋体"/>
          <w:color w:val="auto"/>
          <w:sz w:val="24"/>
          <w:highlight w:val="none"/>
        </w:rPr>
        <w:t>（其他补充说明）。</w:t>
      </w:r>
    </w:p>
    <w:p>
      <w:pPr>
        <w:spacing w:line="360" w:lineRule="auto"/>
        <w:rPr>
          <w:color w:val="auto"/>
          <w:sz w:val="24"/>
          <w:highlight w:val="none"/>
        </w:rPr>
      </w:pPr>
    </w:p>
    <w:p>
      <w:pPr>
        <w:spacing w:line="360" w:lineRule="auto"/>
        <w:jc w:val="right"/>
        <w:rPr>
          <w:color w:val="auto"/>
          <w:sz w:val="24"/>
          <w:highlight w:val="none"/>
        </w:rPr>
      </w:pPr>
      <w:r>
        <w:rPr>
          <w:rFonts w:hAnsi="宋体"/>
          <w:color w:val="auto"/>
          <w:sz w:val="24"/>
          <w:highlight w:val="none"/>
        </w:rPr>
        <w:t>投标人：</w:t>
      </w:r>
      <w:r>
        <w:rPr>
          <w:color w:val="auto"/>
          <w:sz w:val="24"/>
          <w:highlight w:val="none"/>
          <w:u w:val="single"/>
        </w:rPr>
        <w:t xml:space="preserve">                             </w:t>
      </w:r>
      <w:r>
        <w:rPr>
          <w:rFonts w:hAnsi="宋体"/>
          <w:color w:val="auto"/>
          <w:sz w:val="24"/>
          <w:highlight w:val="none"/>
        </w:rPr>
        <w:t>(盖单位章)</w:t>
      </w:r>
    </w:p>
    <w:p>
      <w:pPr>
        <w:spacing w:line="360" w:lineRule="auto"/>
        <w:jc w:val="right"/>
        <w:rPr>
          <w:color w:val="auto"/>
          <w:sz w:val="24"/>
          <w:highlight w:val="none"/>
        </w:rPr>
      </w:pPr>
      <w:r>
        <w:rPr>
          <w:rFonts w:hAnsi="宋体"/>
          <w:color w:val="auto"/>
          <w:sz w:val="24"/>
          <w:highlight w:val="none"/>
        </w:rPr>
        <w:t>法定代表人或委托代理人：</w:t>
      </w:r>
      <w:r>
        <w:rPr>
          <w:color w:val="auto"/>
          <w:sz w:val="24"/>
          <w:highlight w:val="none"/>
          <w:u w:val="single"/>
        </w:rPr>
        <w:t xml:space="preserve">                 </w:t>
      </w:r>
      <w:r>
        <w:rPr>
          <w:rFonts w:hAnsi="宋体"/>
          <w:color w:val="auto"/>
          <w:sz w:val="24"/>
          <w:highlight w:val="none"/>
        </w:rPr>
        <w:t>(签字)</w:t>
      </w:r>
    </w:p>
    <w:p>
      <w:pPr>
        <w:wordWrap w:val="0"/>
        <w:spacing w:line="360" w:lineRule="auto"/>
        <w:jc w:val="right"/>
        <w:rPr>
          <w:color w:val="auto"/>
          <w:sz w:val="24"/>
          <w:highlight w:val="none"/>
          <w:u w:val="single"/>
        </w:rPr>
      </w:pPr>
      <w:r>
        <w:rPr>
          <w:rFonts w:hAnsi="宋体"/>
          <w:color w:val="auto"/>
          <w:sz w:val="24"/>
          <w:highlight w:val="none"/>
        </w:rPr>
        <w:t>地址：</w:t>
      </w:r>
      <w:r>
        <w:rPr>
          <w:rFonts w:hAnsi="宋体"/>
          <w:color w:val="auto"/>
          <w:sz w:val="24"/>
          <w:highlight w:val="none"/>
          <w:u w:val="single"/>
        </w:rPr>
        <w:t xml:space="preserve">                                        </w:t>
      </w:r>
    </w:p>
    <w:p>
      <w:pPr>
        <w:wordWrap w:val="0"/>
        <w:spacing w:line="360" w:lineRule="auto"/>
        <w:jc w:val="right"/>
        <w:rPr>
          <w:color w:val="auto"/>
          <w:sz w:val="24"/>
          <w:highlight w:val="none"/>
          <w:u w:val="single"/>
        </w:rPr>
      </w:pPr>
      <w:r>
        <w:rPr>
          <w:rFonts w:hAnsi="宋体"/>
          <w:color w:val="auto"/>
          <w:sz w:val="24"/>
          <w:highlight w:val="none"/>
        </w:rPr>
        <w:t>网址：</w:t>
      </w:r>
      <w:r>
        <w:rPr>
          <w:rFonts w:hAnsi="宋体"/>
          <w:color w:val="auto"/>
          <w:sz w:val="24"/>
          <w:highlight w:val="none"/>
          <w:u w:val="single"/>
        </w:rPr>
        <w:t xml:space="preserve">                                        </w:t>
      </w:r>
    </w:p>
    <w:p>
      <w:pPr>
        <w:wordWrap w:val="0"/>
        <w:spacing w:line="360" w:lineRule="auto"/>
        <w:jc w:val="right"/>
        <w:rPr>
          <w:color w:val="auto"/>
          <w:sz w:val="24"/>
          <w:highlight w:val="none"/>
          <w:u w:val="single"/>
        </w:rPr>
      </w:pPr>
      <w:r>
        <w:rPr>
          <w:rFonts w:hAnsi="宋体"/>
          <w:color w:val="auto"/>
          <w:sz w:val="24"/>
          <w:highlight w:val="none"/>
        </w:rPr>
        <w:t>电话：</w:t>
      </w:r>
      <w:r>
        <w:rPr>
          <w:rFonts w:hAnsi="宋体"/>
          <w:color w:val="auto"/>
          <w:sz w:val="24"/>
          <w:highlight w:val="none"/>
          <w:u w:val="single"/>
        </w:rPr>
        <w:t xml:space="preserve">                                        </w:t>
      </w:r>
    </w:p>
    <w:p>
      <w:pPr>
        <w:wordWrap w:val="0"/>
        <w:spacing w:line="360" w:lineRule="auto"/>
        <w:jc w:val="right"/>
        <w:rPr>
          <w:color w:val="auto"/>
          <w:sz w:val="24"/>
          <w:highlight w:val="none"/>
          <w:u w:val="single"/>
        </w:rPr>
      </w:pPr>
      <w:r>
        <w:rPr>
          <w:rFonts w:hAnsi="宋体"/>
          <w:color w:val="auto"/>
          <w:sz w:val="24"/>
          <w:highlight w:val="none"/>
        </w:rPr>
        <w:t>传真：</w:t>
      </w:r>
      <w:r>
        <w:rPr>
          <w:rFonts w:hAnsi="宋体"/>
          <w:color w:val="auto"/>
          <w:sz w:val="24"/>
          <w:highlight w:val="none"/>
          <w:u w:val="single"/>
        </w:rPr>
        <w:t xml:space="preserve">                                        </w:t>
      </w:r>
    </w:p>
    <w:p>
      <w:pPr>
        <w:wordWrap w:val="0"/>
        <w:spacing w:line="360" w:lineRule="auto"/>
        <w:jc w:val="right"/>
        <w:rPr>
          <w:color w:val="auto"/>
          <w:sz w:val="24"/>
          <w:highlight w:val="none"/>
          <w:u w:val="single"/>
        </w:rPr>
      </w:pPr>
      <w:r>
        <w:rPr>
          <w:rFonts w:hAnsi="宋体"/>
          <w:color w:val="auto"/>
          <w:sz w:val="24"/>
          <w:highlight w:val="none"/>
        </w:rPr>
        <w:t xml:space="preserve">    </w:t>
      </w:r>
      <w:r>
        <w:rPr>
          <w:rFonts w:hint="eastAsia" w:hAnsi="宋体"/>
          <w:color w:val="auto"/>
          <w:sz w:val="24"/>
          <w:highlight w:val="none"/>
        </w:rPr>
        <w:t>邮政编码</w:t>
      </w:r>
      <w:r>
        <w:rPr>
          <w:rFonts w:hAnsi="宋体"/>
          <w:color w:val="auto"/>
          <w:sz w:val="24"/>
          <w:highlight w:val="none"/>
        </w:rPr>
        <w:t>：</w:t>
      </w:r>
      <w:r>
        <w:rPr>
          <w:rFonts w:hAnsi="宋体"/>
          <w:color w:val="auto"/>
          <w:sz w:val="24"/>
          <w:highlight w:val="none"/>
          <w:u w:val="single"/>
        </w:rPr>
        <w:t xml:space="preserve">                                        </w:t>
      </w:r>
    </w:p>
    <w:p>
      <w:pPr>
        <w:wordWrap w:val="0"/>
        <w:spacing w:line="420" w:lineRule="exact"/>
        <w:ind w:firstLine="4320" w:firstLineChars="1800"/>
        <w:rPr>
          <w:rFonts w:ascii="宋体" w:hAnsi="宋体"/>
          <w:b/>
          <w:color w:val="auto"/>
          <w:sz w:val="30"/>
          <w:szCs w:val="30"/>
          <w:highlight w:val="none"/>
        </w:rPr>
      </w:pPr>
      <w:r>
        <w:rPr>
          <w:color w:val="auto"/>
          <w:sz w:val="24"/>
          <w:highlight w:val="none"/>
          <w:u w:val="single"/>
        </w:rPr>
        <w:t xml:space="preserve">       </w:t>
      </w:r>
      <w:r>
        <w:rPr>
          <w:rFonts w:hAnsi="宋体"/>
          <w:color w:val="auto"/>
          <w:sz w:val="24"/>
          <w:highlight w:val="none"/>
        </w:rPr>
        <w:t>年</w:t>
      </w:r>
      <w:r>
        <w:rPr>
          <w:color w:val="auto"/>
          <w:sz w:val="24"/>
          <w:highlight w:val="none"/>
          <w:u w:val="single"/>
        </w:rPr>
        <w:t xml:space="preserve">       </w:t>
      </w:r>
      <w:r>
        <w:rPr>
          <w:rFonts w:hAnsi="宋体"/>
          <w:color w:val="auto"/>
          <w:sz w:val="24"/>
          <w:highlight w:val="none"/>
        </w:rPr>
        <w:t>月</w:t>
      </w:r>
      <w:r>
        <w:rPr>
          <w:color w:val="auto"/>
          <w:sz w:val="24"/>
          <w:highlight w:val="none"/>
          <w:u w:val="single"/>
        </w:rPr>
        <w:t xml:space="preserve">       </w:t>
      </w:r>
      <w:r>
        <w:rPr>
          <w:rFonts w:hAnsi="宋体"/>
          <w:color w:val="auto"/>
          <w:sz w:val="24"/>
          <w:highlight w:val="none"/>
        </w:rPr>
        <w:t>日</w:t>
      </w:r>
    </w:p>
    <w:p>
      <w:pPr>
        <w:pStyle w:val="151"/>
        <w:spacing w:beforeLines="0" w:line="360" w:lineRule="auto"/>
        <w:jc w:val="both"/>
        <w:rPr>
          <w:rFonts w:ascii="Times New Roman" w:hAnsi="Times New Roman"/>
          <w:color w:val="auto"/>
          <w:sz w:val="48"/>
          <w:szCs w:val="48"/>
          <w:highlight w:val="none"/>
        </w:rPr>
      </w:pPr>
    </w:p>
    <w:sectPr>
      <w:footerReference r:id="rId8" w:type="default"/>
      <w:pgSz w:w="11905" w:h="16838"/>
      <w:pgMar w:top="1389" w:right="1474" w:bottom="1389" w:left="1644" w:header="850" w:footer="992"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KNLe">
    <w:altName w:val="Times New Roman"/>
    <w:panose1 w:val="00000000000000000000"/>
    <w:charset w:val="00"/>
    <w:family w:val="roman"/>
    <w:pitch w:val="default"/>
    <w:sig w:usb0="00000000" w:usb1="00000000" w:usb2="00000000" w:usb3="00000000" w:csb0="00000001" w:csb1="00000000"/>
  </w:font>
  <w:font w:name="@幼圆">
    <w:panose1 w:val="02010509060101010101"/>
    <w:charset w:val="86"/>
    <w:family w:val="modern"/>
    <w:pitch w:val="default"/>
    <w:sig w:usb0="00000001" w:usb1="080E0000" w:usb2="00000000" w:usb3="00000000" w:csb0="00040000" w:csb1="00000000"/>
  </w:font>
  <w:font w:name="文鼎CS长美黑">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modern"/>
    <w:pitch w:val="default"/>
    <w:sig w:usb0="00000001" w:usb1="080E0000" w:usb2="00000000" w:usb3="00000000" w:csb0="00040000" w:csb1="00000000"/>
  </w:font>
  <w:font w:name="汉鼎简大宋">
    <w:altName w:val="宋体"/>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10" w:usb3="00000000" w:csb0="00040000" w:csb1="00000000"/>
  </w:font>
  <w:font w:name="Noto Sans CJK JP Regular">
    <w:altName w:val="Arial"/>
    <w:panose1 w:val="00000000000000000000"/>
    <w:charset w:val="00"/>
    <w:family w:val="swiss"/>
    <w:pitch w:val="default"/>
    <w:sig w:usb0="00000000" w:usb1="00000000" w:usb2="00000000" w:usb3="00000000" w:csb0="00040001" w:csb1="00000000"/>
  </w:font>
  <w:font w:name="Arial Narrow">
    <w:panose1 w:val="020B0606020202030204"/>
    <w:charset w:val="00"/>
    <w:family w:val="swiss"/>
    <w:pitch w:val="default"/>
    <w:sig w:usb0="00000287" w:usb1="00000800" w:usb2="00000000" w:usb3="00000000" w:csb0="2000009F" w:csb1="DFD70000"/>
  </w:font>
  <w:font w:name="Wingdings 2">
    <w:panose1 w:val="05020102010507070707"/>
    <w:charset w:val="02"/>
    <w:family w:val="roman"/>
    <w:pitch w:val="default"/>
    <w:sig w:usb0="00000000" w:usb1="00000000" w:usb2="00000000" w:usb3="00000000" w:csb0="80000000" w:csb1="00000000"/>
  </w:font>
  <w:font w:name="T3Font_0">
    <w:altName w:val="微软雅黑"/>
    <w:panose1 w:val="00000000000000000000"/>
    <w:charset w:val="86"/>
    <w:family w:val="swiss"/>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right="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right="360"/>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4"/>
                </w:pPr>
                <w:r>
                  <w:fldChar w:fldCharType="begin"/>
                </w:r>
                <w:r>
                  <w:instrText xml:space="preserve"> PAGE  \* MERGEFORMAT </w:instrText>
                </w:r>
                <w:r>
                  <w:fldChar w:fldCharType="separate"/>
                </w:r>
                <w:r>
                  <w:t>56</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4"/>
                  <w:jc w:val="center"/>
                </w:pPr>
                <w:r>
                  <w:rPr>
                    <w:rStyle w:val="55"/>
                  </w:rPr>
                  <w:fldChar w:fldCharType="begin"/>
                </w:r>
                <w:r>
                  <w:rPr>
                    <w:rStyle w:val="55"/>
                  </w:rPr>
                  <w:instrText xml:space="preserve"> PAGE </w:instrText>
                </w:r>
                <w:r>
                  <w:rPr>
                    <w:rStyle w:val="55"/>
                  </w:rPr>
                  <w:fldChar w:fldCharType="separate"/>
                </w:r>
                <w:r>
                  <w:rPr>
                    <w:rStyle w:val="55"/>
                  </w:rPr>
                  <w:t>96</w:t>
                </w:r>
                <w:r>
                  <w:rPr>
                    <w:rStyle w:val="55"/>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4"/>
                  <w:jc w:val="center"/>
                </w:pPr>
                <w:r>
                  <w:fldChar w:fldCharType="begin"/>
                </w:r>
                <w:r>
                  <w:instrText xml:space="preserve">PAGE   \* MERGEFORMAT</w:instrText>
                </w:r>
                <w:r>
                  <w:fldChar w:fldCharType="separate"/>
                </w:r>
                <w:r>
                  <w:rPr>
                    <w:lang w:val="zh-CN"/>
                  </w:rPr>
                  <w:t>121</w:t>
                </w:r>
                <w:r>
                  <w:rPr>
                    <w:lang w:val="zh-CN"/>
                  </w:rPr>
                  <w:fldChar w:fldCharType="end"/>
                </w:r>
              </w:p>
            </w:txbxContent>
          </v:textbox>
        </v:shape>
      </w:pict>
    </w:r>
  </w:p>
  <w:p>
    <w:pPr>
      <w:pStyle w:val="3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Bdr>
        <w:bottom w:val="none" w:color="auto" w:sz="0" w:space="0"/>
      </w:pBdr>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0565"/>
    <w:multiLevelType w:val="singleLevel"/>
    <w:tmpl w:val="DB120565"/>
    <w:lvl w:ilvl="0" w:tentative="0">
      <w:start w:val="1"/>
      <w:numFmt w:val="decimal"/>
      <w:lvlText w:val="(%1)"/>
      <w:lvlJc w:val="left"/>
      <w:pPr>
        <w:tabs>
          <w:tab w:val="left" w:pos="312"/>
        </w:tabs>
      </w:pPr>
    </w:lvl>
  </w:abstractNum>
  <w:abstractNum w:abstractNumId="1">
    <w:nsid w:val="0AFE53B2"/>
    <w:multiLevelType w:val="multilevel"/>
    <w:tmpl w:val="0AFE53B2"/>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72CD72"/>
    <w:multiLevelType w:val="singleLevel"/>
    <w:tmpl w:val="2472CD72"/>
    <w:lvl w:ilvl="0" w:tentative="0">
      <w:start w:val="1"/>
      <w:numFmt w:val="decimal"/>
      <w:lvlText w:val="%1."/>
      <w:lvlJc w:val="left"/>
      <w:pPr>
        <w:ind w:left="425" w:hanging="425"/>
      </w:pPr>
      <w:rPr>
        <w:rFonts w:hint="default" w:cs="Times New Roman"/>
      </w:rPr>
    </w:lvl>
  </w:abstractNum>
  <w:abstractNum w:abstractNumId="3">
    <w:nsid w:val="49A33036"/>
    <w:multiLevelType w:val="multilevel"/>
    <w:tmpl w:val="49A3303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BA68184"/>
    <w:multiLevelType w:val="singleLevel"/>
    <w:tmpl w:val="4BA68184"/>
    <w:lvl w:ilvl="0" w:tentative="0">
      <w:start w:val="1"/>
      <w:numFmt w:val="decimal"/>
      <w:lvlText w:val="%1."/>
      <w:lvlJc w:val="left"/>
      <w:pPr>
        <w:ind w:left="425" w:hanging="425"/>
      </w:pPr>
      <w:rPr>
        <w:rFonts w:hint="default" w:cs="Times New Roman"/>
      </w:rPr>
    </w:lvl>
  </w:abstractNum>
  <w:abstractNum w:abstractNumId="5">
    <w:nsid w:val="7B7F7E16"/>
    <w:multiLevelType w:val="multilevel"/>
    <w:tmpl w:val="7B7F7E16"/>
    <w:lvl w:ilvl="0" w:tentative="0">
      <w:start w:val="1"/>
      <w:numFmt w:val="decimal"/>
      <w:lvlText w:val="%1."/>
      <w:lvlJc w:val="left"/>
      <w:pPr>
        <w:ind w:left="405" w:hanging="40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159"/>
    <w:rsid w:val="00000181"/>
    <w:rsid w:val="00000A30"/>
    <w:rsid w:val="00000A4A"/>
    <w:rsid w:val="00000E46"/>
    <w:rsid w:val="0000149A"/>
    <w:rsid w:val="0000154F"/>
    <w:rsid w:val="0000209F"/>
    <w:rsid w:val="00003034"/>
    <w:rsid w:val="00003FFE"/>
    <w:rsid w:val="0000495A"/>
    <w:rsid w:val="00004EB3"/>
    <w:rsid w:val="00005110"/>
    <w:rsid w:val="00005598"/>
    <w:rsid w:val="00005649"/>
    <w:rsid w:val="00005CAD"/>
    <w:rsid w:val="00005DE9"/>
    <w:rsid w:val="0000617C"/>
    <w:rsid w:val="00007C20"/>
    <w:rsid w:val="00007EBA"/>
    <w:rsid w:val="000100A9"/>
    <w:rsid w:val="00010E14"/>
    <w:rsid w:val="00011076"/>
    <w:rsid w:val="0001155C"/>
    <w:rsid w:val="00011644"/>
    <w:rsid w:val="00011DD3"/>
    <w:rsid w:val="00011EBE"/>
    <w:rsid w:val="00012197"/>
    <w:rsid w:val="00012AF8"/>
    <w:rsid w:val="000135AD"/>
    <w:rsid w:val="000143DD"/>
    <w:rsid w:val="00014437"/>
    <w:rsid w:val="00014C19"/>
    <w:rsid w:val="00014CA0"/>
    <w:rsid w:val="00014EDF"/>
    <w:rsid w:val="00015A06"/>
    <w:rsid w:val="00015DA4"/>
    <w:rsid w:val="00016BA2"/>
    <w:rsid w:val="00017722"/>
    <w:rsid w:val="00020064"/>
    <w:rsid w:val="00020501"/>
    <w:rsid w:val="00020F92"/>
    <w:rsid w:val="00021BBD"/>
    <w:rsid w:val="00021C6A"/>
    <w:rsid w:val="000226D7"/>
    <w:rsid w:val="00022FEF"/>
    <w:rsid w:val="00023252"/>
    <w:rsid w:val="000232BA"/>
    <w:rsid w:val="000237AD"/>
    <w:rsid w:val="0002417A"/>
    <w:rsid w:val="000243F4"/>
    <w:rsid w:val="00024576"/>
    <w:rsid w:val="00024E63"/>
    <w:rsid w:val="00025510"/>
    <w:rsid w:val="0002566C"/>
    <w:rsid w:val="00025CDA"/>
    <w:rsid w:val="00026979"/>
    <w:rsid w:val="00026D72"/>
    <w:rsid w:val="0002722D"/>
    <w:rsid w:val="000279EA"/>
    <w:rsid w:val="00027AEA"/>
    <w:rsid w:val="00027AF2"/>
    <w:rsid w:val="00027E69"/>
    <w:rsid w:val="00030270"/>
    <w:rsid w:val="00030330"/>
    <w:rsid w:val="00030648"/>
    <w:rsid w:val="00031390"/>
    <w:rsid w:val="00031B73"/>
    <w:rsid w:val="00032DB1"/>
    <w:rsid w:val="00033417"/>
    <w:rsid w:val="00033671"/>
    <w:rsid w:val="000342AE"/>
    <w:rsid w:val="000349EA"/>
    <w:rsid w:val="0003501D"/>
    <w:rsid w:val="000350E6"/>
    <w:rsid w:val="00035C85"/>
    <w:rsid w:val="00035F09"/>
    <w:rsid w:val="000363AC"/>
    <w:rsid w:val="0003706F"/>
    <w:rsid w:val="0003709C"/>
    <w:rsid w:val="00037131"/>
    <w:rsid w:val="00037496"/>
    <w:rsid w:val="0003761E"/>
    <w:rsid w:val="0003785D"/>
    <w:rsid w:val="0003787A"/>
    <w:rsid w:val="000402B0"/>
    <w:rsid w:val="00041DC6"/>
    <w:rsid w:val="00041DEC"/>
    <w:rsid w:val="00041F96"/>
    <w:rsid w:val="00042131"/>
    <w:rsid w:val="000429DA"/>
    <w:rsid w:val="000432F5"/>
    <w:rsid w:val="00043672"/>
    <w:rsid w:val="000436F0"/>
    <w:rsid w:val="00043804"/>
    <w:rsid w:val="00043AE0"/>
    <w:rsid w:val="00043CFB"/>
    <w:rsid w:val="00043FDA"/>
    <w:rsid w:val="0004464A"/>
    <w:rsid w:val="000456B2"/>
    <w:rsid w:val="000456BE"/>
    <w:rsid w:val="000456ED"/>
    <w:rsid w:val="00045A0A"/>
    <w:rsid w:val="00045BD2"/>
    <w:rsid w:val="00045BF2"/>
    <w:rsid w:val="00045E36"/>
    <w:rsid w:val="00045EA4"/>
    <w:rsid w:val="0004649B"/>
    <w:rsid w:val="000467D7"/>
    <w:rsid w:val="00046D73"/>
    <w:rsid w:val="00046FBA"/>
    <w:rsid w:val="000470F1"/>
    <w:rsid w:val="000471D9"/>
    <w:rsid w:val="000477C6"/>
    <w:rsid w:val="000477F3"/>
    <w:rsid w:val="0004789C"/>
    <w:rsid w:val="0004790E"/>
    <w:rsid w:val="00047A3B"/>
    <w:rsid w:val="00047A41"/>
    <w:rsid w:val="00047BE1"/>
    <w:rsid w:val="00047C91"/>
    <w:rsid w:val="00050D38"/>
    <w:rsid w:val="00050DD1"/>
    <w:rsid w:val="000513B4"/>
    <w:rsid w:val="00051418"/>
    <w:rsid w:val="00051547"/>
    <w:rsid w:val="000517B0"/>
    <w:rsid w:val="00051B4D"/>
    <w:rsid w:val="00051C3F"/>
    <w:rsid w:val="00052923"/>
    <w:rsid w:val="00052C27"/>
    <w:rsid w:val="00052FC3"/>
    <w:rsid w:val="000534CA"/>
    <w:rsid w:val="0005359C"/>
    <w:rsid w:val="00053E13"/>
    <w:rsid w:val="00053EC0"/>
    <w:rsid w:val="000549A7"/>
    <w:rsid w:val="00054B73"/>
    <w:rsid w:val="0005654F"/>
    <w:rsid w:val="0005690C"/>
    <w:rsid w:val="00057470"/>
    <w:rsid w:val="00057B47"/>
    <w:rsid w:val="00057C1F"/>
    <w:rsid w:val="00057C2C"/>
    <w:rsid w:val="0006073A"/>
    <w:rsid w:val="00060C2E"/>
    <w:rsid w:val="000611C7"/>
    <w:rsid w:val="00061D22"/>
    <w:rsid w:val="0006259B"/>
    <w:rsid w:val="0006268A"/>
    <w:rsid w:val="000628BD"/>
    <w:rsid w:val="00062EAB"/>
    <w:rsid w:val="00063AC0"/>
    <w:rsid w:val="00064610"/>
    <w:rsid w:val="0006464A"/>
    <w:rsid w:val="000649B8"/>
    <w:rsid w:val="00064D45"/>
    <w:rsid w:val="000652B6"/>
    <w:rsid w:val="000659EB"/>
    <w:rsid w:val="00065A6B"/>
    <w:rsid w:val="00065EFD"/>
    <w:rsid w:val="000667BA"/>
    <w:rsid w:val="000667CB"/>
    <w:rsid w:val="00066A32"/>
    <w:rsid w:val="00070195"/>
    <w:rsid w:val="0007061A"/>
    <w:rsid w:val="00070F6C"/>
    <w:rsid w:val="000712B3"/>
    <w:rsid w:val="00074313"/>
    <w:rsid w:val="00074557"/>
    <w:rsid w:val="00074A6F"/>
    <w:rsid w:val="000759EA"/>
    <w:rsid w:val="00075CF8"/>
    <w:rsid w:val="000770D6"/>
    <w:rsid w:val="000774CC"/>
    <w:rsid w:val="0008023F"/>
    <w:rsid w:val="0008043D"/>
    <w:rsid w:val="00080654"/>
    <w:rsid w:val="00080C77"/>
    <w:rsid w:val="00081877"/>
    <w:rsid w:val="000819C6"/>
    <w:rsid w:val="00081C99"/>
    <w:rsid w:val="00081E2F"/>
    <w:rsid w:val="00082943"/>
    <w:rsid w:val="00082A03"/>
    <w:rsid w:val="0008324F"/>
    <w:rsid w:val="000834E7"/>
    <w:rsid w:val="0008371E"/>
    <w:rsid w:val="000841C0"/>
    <w:rsid w:val="000841FA"/>
    <w:rsid w:val="000845B4"/>
    <w:rsid w:val="00087334"/>
    <w:rsid w:val="00087450"/>
    <w:rsid w:val="000874BD"/>
    <w:rsid w:val="00087C61"/>
    <w:rsid w:val="00087F7E"/>
    <w:rsid w:val="0009055E"/>
    <w:rsid w:val="000906AA"/>
    <w:rsid w:val="000906D5"/>
    <w:rsid w:val="00090B93"/>
    <w:rsid w:val="000911A0"/>
    <w:rsid w:val="000914A2"/>
    <w:rsid w:val="00091623"/>
    <w:rsid w:val="00091DDD"/>
    <w:rsid w:val="000923A0"/>
    <w:rsid w:val="000927FB"/>
    <w:rsid w:val="00092A27"/>
    <w:rsid w:val="000933D4"/>
    <w:rsid w:val="000934FE"/>
    <w:rsid w:val="00093B24"/>
    <w:rsid w:val="00094122"/>
    <w:rsid w:val="00094768"/>
    <w:rsid w:val="00094A75"/>
    <w:rsid w:val="00094D81"/>
    <w:rsid w:val="0009513C"/>
    <w:rsid w:val="00095359"/>
    <w:rsid w:val="000954EC"/>
    <w:rsid w:val="00095843"/>
    <w:rsid w:val="00095DE5"/>
    <w:rsid w:val="00096027"/>
    <w:rsid w:val="00096909"/>
    <w:rsid w:val="00096B4E"/>
    <w:rsid w:val="00096E9E"/>
    <w:rsid w:val="00096FDF"/>
    <w:rsid w:val="00097200"/>
    <w:rsid w:val="00097A3F"/>
    <w:rsid w:val="00097B48"/>
    <w:rsid w:val="000A00E2"/>
    <w:rsid w:val="000A029F"/>
    <w:rsid w:val="000A02E7"/>
    <w:rsid w:val="000A14FE"/>
    <w:rsid w:val="000A15D4"/>
    <w:rsid w:val="000A198A"/>
    <w:rsid w:val="000A201B"/>
    <w:rsid w:val="000A2AC5"/>
    <w:rsid w:val="000A3445"/>
    <w:rsid w:val="000A43F1"/>
    <w:rsid w:val="000A48BB"/>
    <w:rsid w:val="000A573C"/>
    <w:rsid w:val="000A5AA3"/>
    <w:rsid w:val="000A61A4"/>
    <w:rsid w:val="000A6704"/>
    <w:rsid w:val="000A6B29"/>
    <w:rsid w:val="000A7652"/>
    <w:rsid w:val="000A7781"/>
    <w:rsid w:val="000B07B3"/>
    <w:rsid w:val="000B1D9E"/>
    <w:rsid w:val="000B269E"/>
    <w:rsid w:val="000B3EA2"/>
    <w:rsid w:val="000B5179"/>
    <w:rsid w:val="000B6105"/>
    <w:rsid w:val="000B6298"/>
    <w:rsid w:val="000B78F0"/>
    <w:rsid w:val="000C03A1"/>
    <w:rsid w:val="000C0729"/>
    <w:rsid w:val="000C0CC0"/>
    <w:rsid w:val="000C12BA"/>
    <w:rsid w:val="000C1348"/>
    <w:rsid w:val="000C16B0"/>
    <w:rsid w:val="000C230F"/>
    <w:rsid w:val="000C24DD"/>
    <w:rsid w:val="000C2C71"/>
    <w:rsid w:val="000C2DD5"/>
    <w:rsid w:val="000C3272"/>
    <w:rsid w:val="000C32E3"/>
    <w:rsid w:val="000C3DA5"/>
    <w:rsid w:val="000C3E47"/>
    <w:rsid w:val="000C3FE1"/>
    <w:rsid w:val="000C4541"/>
    <w:rsid w:val="000C4955"/>
    <w:rsid w:val="000C49B3"/>
    <w:rsid w:val="000C4EA9"/>
    <w:rsid w:val="000C5573"/>
    <w:rsid w:val="000C5702"/>
    <w:rsid w:val="000C5876"/>
    <w:rsid w:val="000C5B56"/>
    <w:rsid w:val="000C5CA6"/>
    <w:rsid w:val="000C5DF9"/>
    <w:rsid w:val="000C62A1"/>
    <w:rsid w:val="000C6380"/>
    <w:rsid w:val="000C638B"/>
    <w:rsid w:val="000C64DE"/>
    <w:rsid w:val="000C6597"/>
    <w:rsid w:val="000C67B6"/>
    <w:rsid w:val="000C6D6A"/>
    <w:rsid w:val="000C71C7"/>
    <w:rsid w:val="000C72DB"/>
    <w:rsid w:val="000C7DA9"/>
    <w:rsid w:val="000C7E70"/>
    <w:rsid w:val="000D0B4C"/>
    <w:rsid w:val="000D161A"/>
    <w:rsid w:val="000D1D57"/>
    <w:rsid w:val="000D1FC9"/>
    <w:rsid w:val="000D29F5"/>
    <w:rsid w:val="000D2CF7"/>
    <w:rsid w:val="000D3014"/>
    <w:rsid w:val="000D35AE"/>
    <w:rsid w:val="000D3C6D"/>
    <w:rsid w:val="000D3E30"/>
    <w:rsid w:val="000D4283"/>
    <w:rsid w:val="000D4376"/>
    <w:rsid w:val="000D4872"/>
    <w:rsid w:val="000D56DF"/>
    <w:rsid w:val="000D5B98"/>
    <w:rsid w:val="000D6779"/>
    <w:rsid w:val="000D6A72"/>
    <w:rsid w:val="000D73EF"/>
    <w:rsid w:val="000E05EC"/>
    <w:rsid w:val="000E15E4"/>
    <w:rsid w:val="000E244F"/>
    <w:rsid w:val="000E2D8F"/>
    <w:rsid w:val="000E2EE9"/>
    <w:rsid w:val="000E3065"/>
    <w:rsid w:val="000E347D"/>
    <w:rsid w:val="000E378D"/>
    <w:rsid w:val="000E3C52"/>
    <w:rsid w:val="000E3F7B"/>
    <w:rsid w:val="000E4037"/>
    <w:rsid w:val="000E4540"/>
    <w:rsid w:val="000E479E"/>
    <w:rsid w:val="000E4FEA"/>
    <w:rsid w:val="000E528E"/>
    <w:rsid w:val="000E5366"/>
    <w:rsid w:val="000E56D0"/>
    <w:rsid w:val="000E5D75"/>
    <w:rsid w:val="000E5E1F"/>
    <w:rsid w:val="000E5E8D"/>
    <w:rsid w:val="000E5F32"/>
    <w:rsid w:val="000E6F23"/>
    <w:rsid w:val="000E6FCB"/>
    <w:rsid w:val="000E7068"/>
    <w:rsid w:val="000E749E"/>
    <w:rsid w:val="000E756E"/>
    <w:rsid w:val="000E782B"/>
    <w:rsid w:val="000E7AEF"/>
    <w:rsid w:val="000E7F1C"/>
    <w:rsid w:val="000F065F"/>
    <w:rsid w:val="000F0D41"/>
    <w:rsid w:val="000F18AE"/>
    <w:rsid w:val="000F1C43"/>
    <w:rsid w:val="000F2AD6"/>
    <w:rsid w:val="000F33A2"/>
    <w:rsid w:val="000F39F8"/>
    <w:rsid w:val="000F4158"/>
    <w:rsid w:val="000F4256"/>
    <w:rsid w:val="000F44EA"/>
    <w:rsid w:val="000F4D50"/>
    <w:rsid w:val="000F51F9"/>
    <w:rsid w:val="000F5688"/>
    <w:rsid w:val="000F6ECE"/>
    <w:rsid w:val="000F74EC"/>
    <w:rsid w:val="000F766E"/>
    <w:rsid w:val="001004AE"/>
    <w:rsid w:val="001006CD"/>
    <w:rsid w:val="00100A86"/>
    <w:rsid w:val="00100AB7"/>
    <w:rsid w:val="00100D83"/>
    <w:rsid w:val="00100E60"/>
    <w:rsid w:val="0010144C"/>
    <w:rsid w:val="00101B3E"/>
    <w:rsid w:val="0010218E"/>
    <w:rsid w:val="001023E9"/>
    <w:rsid w:val="00102734"/>
    <w:rsid w:val="00102915"/>
    <w:rsid w:val="00102B04"/>
    <w:rsid w:val="00103917"/>
    <w:rsid w:val="00103C6B"/>
    <w:rsid w:val="00103C87"/>
    <w:rsid w:val="00103E20"/>
    <w:rsid w:val="00105249"/>
    <w:rsid w:val="00105447"/>
    <w:rsid w:val="00105FEF"/>
    <w:rsid w:val="00106904"/>
    <w:rsid w:val="001069A3"/>
    <w:rsid w:val="00107489"/>
    <w:rsid w:val="00107C1D"/>
    <w:rsid w:val="0011030A"/>
    <w:rsid w:val="001105F7"/>
    <w:rsid w:val="00110B1C"/>
    <w:rsid w:val="001114F3"/>
    <w:rsid w:val="00111BFA"/>
    <w:rsid w:val="00111DAA"/>
    <w:rsid w:val="0011356B"/>
    <w:rsid w:val="001143C3"/>
    <w:rsid w:val="00114849"/>
    <w:rsid w:val="0011493F"/>
    <w:rsid w:val="00114BE2"/>
    <w:rsid w:val="00114CC9"/>
    <w:rsid w:val="00114E7C"/>
    <w:rsid w:val="00115399"/>
    <w:rsid w:val="001162E2"/>
    <w:rsid w:val="0011677D"/>
    <w:rsid w:val="00116E8D"/>
    <w:rsid w:val="00116F8F"/>
    <w:rsid w:val="001176EA"/>
    <w:rsid w:val="00117836"/>
    <w:rsid w:val="0011794E"/>
    <w:rsid w:val="001203AF"/>
    <w:rsid w:val="001204FE"/>
    <w:rsid w:val="001207E3"/>
    <w:rsid w:val="001207F9"/>
    <w:rsid w:val="00120DA0"/>
    <w:rsid w:val="00121B0F"/>
    <w:rsid w:val="00121F94"/>
    <w:rsid w:val="00122098"/>
    <w:rsid w:val="00122221"/>
    <w:rsid w:val="001222FB"/>
    <w:rsid w:val="00122315"/>
    <w:rsid w:val="00122678"/>
    <w:rsid w:val="0012271C"/>
    <w:rsid w:val="00122A62"/>
    <w:rsid w:val="00122C68"/>
    <w:rsid w:val="00122DC5"/>
    <w:rsid w:val="00122F2A"/>
    <w:rsid w:val="00124303"/>
    <w:rsid w:val="001244FB"/>
    <w:rsid w:val="00124E5F"/>
    <w:rsid w:val="00125A5C"/>
    <w:rsid w:val="00125D34"/>
    <w:rsid w:val="00126357"/>
    <w:rsid w:val="00126922"/>
    <w:rsid w:val="00126EE1"/>
    <w:rsid w:val="00126F6B"/>
    <w:rsid w:val="00126FF5"/>
    <w:rsid w:val="0012758B"/>
    <w:rsid w:val="0012762A"/>
    <w:rsid w:val="00127787"/>
    <w:rsid w:val="00127A52"/>
    <w:rsid w:val="00127D14"/>
    <w:rsid w:val="00127EE0"/>
    <w:rsid w:val="0013040D"/>
    <w:rsid w:val="001306B6"/>
    <w:rsid w:val="001314E0"/>
    <w:rsid w:val="0013191D"/>
    <w:rsid w:val="00131E9D"/>
    <w:rsid w:val="001328A5"/>
    <w:rsid w:val="00132A5D"/>
    <w:rsid w:val="001331BF"/>
    <w:rsid w:val="00134527"/>
    <w:rsid w:val="00134848"/>
    <w:rsid w:val="00134D71"/>
    <w:rsid w:val="00134F77"/>
    <w:rsid w:val="00136299"/>
    <w:rsid w:val="00136731"/>
    <w:rsid w:val="00136D0F"/>
    <w:rsid w:val="00137331"/>
    <w:rsid w:val="00137AB8"/>
    <w:rsid w:val="00137EF9"/>
    <w:rsid w:val="00137FC0"/>
    <w:rsid w:val="00140110"/>
    <w:rsid w:val="00140525"/>
    <w:rsid w:val="001416E8"/>
    <w:rsid w:val="00141A63"/>
    <w:rsid w:val="001424CD"/>
    <w:rsid w:val="00143069"/>
    <w:rsid w:val="001430C2"/>
    <w:rsid w:val="00143366"/>
    <w:rsid w:val="0014346D"/>
    <w:rsid w:val="00143AF2"/>
    <w:rsid w:val="00143CFD"/>
    <w:rsid w:val="00143F34"/>
    <w:rsid w:val="0014443C"/>
    <w:rsid w:val="00144F3B"/>
    <w:rsid w:val="001450FB"/>
    <w:rsid w:val="00145265"/>
    <w:rsid w:val="0014557B"/>
    <w:rsid w:val="00146119"/>
    <w:rsid w:val="001461C5"/>
    <w:rsid w:val="001462D1"/>
    <w:rsid w:val="00146B10"/>
    <w:rsid w:val="001472F9"/>
    <w:rsid w:val="00147696"/>
    <w:rsid w:val="00147915"/>
    <w:rsid w:val="00147FE9"/>
    <w:rsid w:val="0015087B"/>
    <w:rsid w:val="00150AF6"/>
    <w:rsid w:val="00150B59"/>
    <w:rsid w:val="001524FE"/>
    <w:rsid w:val="0015358E"/>
    <w:rsid w:val="00153C34"/>
    <w:rsid w:val="00153D9D"/>
    <w:rsid w:val="001541BA"/>
    <w:rsid w:val="00154C3B"/>
    <w:rsid w:val="00154C57"/>
    <w:rsid w:val="00155E6E"/>
    <w:rsid w:val="001568EE"/>
    <w:rsid w:val="00157252"/>
    <w:rsid w:val="001574E1"/>
    <w:rsid w:val="00157510"/>
    <w:rsid w:val="00157785"/>
    <w:rsid w:val="00157EB0"/>
    <w:rsid w:val="0016025C"/>
    <w:rsid w:val="00160728"/>
    <w:rsid w:val="00160B2C"/>
    <w:rsid w:val="00160DB7"/>
    <w:rsid w:val="001617DA"/>
    <w:rsid w:val="00161A09"/>
    <w:rsid w:val="001622F7"/>
    <w:rsid w:val="00162944"/>
    <w:rsid w:val="00162B38"/>
    <w:rsid w:val="00163AAD"/>
    <w:rsid w:val="0016585F"/>
    <w:rsid w:val="00165996"/>
    <w:rsid w:val="00165A72"/>
    <w:rsid w:val="00165DFE"/>
    <w:rsid w:val="0016621F"/>
    <w:rsid w:val="0016623C"/>
    <w:rsid w:val="00166399"/>
    <w:rsid w:val="00166953"/>
    <w:rsid w:val="00166A2E"/>
    <w:rsid w:val="00166A67"/>
    <w:rsid w:val="001671D4"/>
    <w:rsid w:val="00167646"/>
    <w:rsid w:val="00167950"/>
    <w:rsid w:val="001679F5"/>
    <w:rsid w:val="00167D43"/>
    <w:rsid w:val="001706E9"/>
    <w:rsid w:val="001712F9"/>
    <w:rsid w:val="00172757"/>
    <w:rsid w:val="00172A1B"/>
    <w:rsid w:val="00172A27"/>
    <w:rsid w:val="00172C6D"/>
    <w:rsid w:val="00173186"/>
    <w:rsid w:val="00173813"/>
    <w:rsid w:val="00173CD0"/>
    <w:rsid w:val="00174C1B"/>
    <w:rsid w:val="00175CB0"/>
    <w:rsid w:val="00175F8B"/>
    <w:rsid w:val="00176243"/>
    <w:rsid w:val="001762AD"/>
    <w:rsid w:val="001764B9"/>
    <w:rsid w:val="00176541"/>
    <w:rsid w:val="00176677"/>
    <w:rsid w:val="00176AF7"/>
    <w:rsid w:val="00176E8C"/>
    <w:rsid w:val="00176FA9"/>
    <w:rsid w:val="00177180"/>
    <w:rsid w:val="0017751F"/>
    <w:rsid w:val="00177866"/>
    <w:rsid w:val="00180863"/>
    <w:rsid w:val="001809FF"/>
    <w:rsid w:val="00181336"/>
    <w:rsid w:val="00182E23"/>
    <w:rsid w:val="00183158"/>
    <w:rsid w:val="001831A9"/>
    <w:rsid w:val="001838DE"/>
    <w:rsid w:val="00183FDE"/>
    <w:rsid w:val="001844A7"/>
    <w:rsid w:val="00184717"/>
    <w:rsid w:val="001848D4"/>
    <w:rsid w:val="001849E9"/>
    <w:rsid w:val="00185093"/>
    <w:rsid w:val="001850C1"/>
    <w:rsid w:val="00185740"/>
    <w:rsid w:val="00185884"/>
    <w:rsid w:val="00185C80"/>
    <w:rsid w:val="00185D06"/>
    <w:rsid w:val="00186DD3"/>
    <w:rsid w:val="001871C6"/>
    <w:rsid w:val="001876E7"/>
    <w:rsid w:val="00187ACB"/>
    <w:rsid w:val="001909E7"/>
    <w:rsid w:val="00191236"/>
    <w:rsid w:val="00191727"/>
    <w:rsid w:val="00191934"/>
    <w:rsid w:val="00191D50"/>
    <w:rsid w:val="00191DEF"/>
    <w:rsid w:val="00192594"/>
    <w:rsid w:val="001926E6"/>
    <w:rsid w:val="001928B9"/>
    <w:rsid w:val="00192CDC"/>
    <w:rsid w:val="00193096"/>
    <w:rsid w:val="00193E7B"/>
    <w:rsid w:val="00193EC5"/>
    <w:rsid w:val="00193EF8"/>
    <w:rsid w:val="001941AF"/>
    <w:rsid w:val="001941D2"/>
    <w:rsid w:val="001941E5"/>
    <w:rsid w:val="001945EF"/>
    <w:rsid w:val="001948AE"/>
    <w:rsid w:val="001957B3"/>
    <w:rsid w:val="00195802"/>
    <w:rsid w:val="00195875"/>
    <w:rsid w:val="00195A6D"/>
    <w:rsid w:val="00195E08"/>
    <w:rsid w:val="00195FBA"/>
    <w:rsid w:val="00196271"/>
    <w:rsid w:val="00196C95"/>
    <w:rsid w:val="00196E67"/>
    <w:rsid w:val="00197132"/>
    <w:rsid w:val="001973C6"/>
    <w:rsid w:val="001975BF"/>
    <w:rsid w:val="00197E28"/>
    <w:rsid w:val="001A057F"/>
    <w:rsid w:val="001A066A"/>
    <w:rsid w:val="001A0A83"/>
    <w:rsid w:val="001A0C5C"/>
    <w:rsid w:val="001A103B"/>
    <w:rsid w:val="001A140F"/>
    <w:rsid w:val="001A1511"/>
    <w:rsid w:val="001A1513"/>
    <w:rsid w:val="001A1C9F"/>
    <w:rsid w:val="001A1D43"/>
    <w:rsid w:val="001A2366"/>
    <w:rsid w:val="001A23CD"/>
    <w:rsid w:val="001A29D0"/>
    <w:rsid w:val="001A2B11"/>
    <w:rsid w:val="001A354F"/>
    <w:rsid w:val="001A36D3"/>
    <w:rsid w:val="001A3BD9"/>
    <w:rsid w:val="001A3CEF"/>
    <w:rsid w:val="001A412F"/>
    <w:rsid w:val="001A47E9"/>
    <w:rsid w:val="001A4D6A"/>
    <w:rsid w:val="001A55AF"/>
    <w:rsid w:val="001A5DBB"/>
    <w:rsid w:val="001A664A"/>
    <w:rsid w:val="001A6759"/>
    <w:rsid w:val="001A6C17"/>
    <w:rsid w:val="001A6CA2"/>
    <w:rsid w:val="001A6D06"/>
    <w:rsid w:val="001A6EB3"/>
    <w:rsid w:val="001A7DC0"/>
    <w:rsid w:val="001B07C2"/>
    <w:rsid w:val="001B0FEF"/>
    <w:rsid w:val="001B12F7"/>
    <w:rsid w:val="001B147F"/>
    <w:rsid w:val="001B15D5"/>
    <w:rsid w:val="001B1E7C"/>
    <w:rsid w:val="001B206A"/>
    <w:rsid w:val="001B2A63"/>
    <w:rsid w:val="001B3550"/>
    <w:rsid w:val="001B3891"/>
    <w:rsid w:val="001B3A01"/>
    <w:rsid w:val="001B3F8E"/>
    <w:rsid w:val="001B3FAB"/>
    <w:rsid w:val="001B449C"/>
    <w:rsid w:val="001B4887"/>
    <w:rsid w:val="001B49D2"/>
    <w:rsid w:val="001B4F0A"/>
    <w:rsid w:val="001B50EC"/>
    <w:rsid w:val="001B5784"/>
    <w:rsid w:val="001B6258"/>
    <w:rsid w:val="001B649C"/>
    <w:rsid w:val="001B68D9"/>
    <w:rsid w:val="001B775D"/>
    <w:rsid w:val="001B79BF"/>
    <w:rsid w:val="001B7AF3"/>
    <w:rsid w:val="001C06C3"/>
    <w:rsid w:val="001C0A8F"/>
    <w:rsid w:val="001C1489"/>
    <w:rsid w:val="001C18CA"/>
    <w:rsid w:val="001C1A69"/>
    <w:rsid w:val="001C2042"/>
    <w:rsid w:val="001C26B7"/>
    <w:rsid w:val="001C2867"/>
    <w:rsid w:val="001C28A5"/>
    <w:rsid w:val="001C2981"/>
    <w:rsid w:val="001C2B97"/>
    <w:rsid w:val="001C2CD0"/>
    <w:rsid w:val="001C4D1D"/>
    <w:rsid w:val="001C555C"/>
    <w:rsid w:val="001C56A5"/>
    <w:rsid w:val="001C5DF3"/>
    <w:rsid w:val="001C5EE7"/>
    <w:rsid w:val="001C5F20"/>
    <w:rsid w:val="001C61AA"/>
    <w:rsid w:val="001C6238"/>
    <w:rsid w:val="001C627C"/>
    <w:rsid w:val="001C65D3"/>
    <w:rsid w:val="001C69DD"/>
    <w:rsid w:val="001C6B7C"/>
    <w:rsid w:val="001C6F20"/>
    <w:rsid w:val="001C717B"/>
    <w:rsid w:val="001C777F"/>
    <w:rsid w:val="001C7855"/>
    <w:rsid w:val="001D0290"/>
    <w:rsid w:val="001D0760"/>
    <w:rsid w:val="001D0E62"/>
    <w:rsid w:val="001D1010"/>
    <w:rsid w:val="001D14BE"/>
    <w:rsid w:val="001D152E"/>
    <w:rsid w:val="001D1F6A"/>
    <w:rsid w:val="001D20E4"/>
    <w:rsid w:val="001D22D6"/>
    <w:rsid w:val="001D26D8"/>
    <w:rsid w:val="001D2CFA"/>
    <w:rsid w:val="001D2D20"/>
    <w:rsid w:val="001D3257"/>
    <w:rsid w:val="001D326A"/>
    <w:rsid w:val="001D35C1"/>
    <w:rsid w:val="001D3981"/>
    <w:rsid w:val="001D447B"/>
    <w:rsid w:val="001D4696"/>
    <w:rsid w:val="001D4769"/>
    <w:rsid w:val="001D556C"/>
    <w:rsid w:val="001D6624"/>
    <w:rsid w:val="001D6E53"/>
    <w:rsid w:val="001D7253"/>
    <w:rsid w:val="001D7E83"/>
    <w:rsid w:val="001E0308"/>
    <w:rsid w:val="001E12EF"/>
    <w:rsid w:val="001E16C3"/>
    <w:rsid w:val="001E19F8"/>
    <w:rsid w:val="001E26E7"/>
    <w:rsid w:val="001E2D20"/>
    <w:rsid w:val="001E31B6"/>
    <w:rsid w:val="001E394B"/>
    <w:rsid w:val="001E3CC9"/>
    <w:rsid w:val="001E3D1E"/>
    <w:rsid w:val="001E4415"/>
    <w:rsid w:val="001E4802"/>
    <w:rsid w:val="001E4C06"/>
    <w:rsid w:val="001E5177"/>
    <w:rsid w:val="001E523E"/>
    <w:rsid w:val="001E5358"/>
    <w:rsid w:val="001E56BC"/>
    <w:rsid w:val="001E6253"/>
    <w:rsid w:val="001E658C"/>
    <w:rsid w:val="001E67C6"/>
    <w:rsid w:val="001E69B4"/>
    <w:rsid w:val="001E6E5D"/>
    <w:rsid w:val="001E6EEB"/>
    <w:rsid w:val="001E7210"/>
    <w:rsid w:val="001E73BD"/>
    <w:rsid w:val="001E743C"/>
    <w:rsid w:val="001E74AC"/>
    <w:rsid w:val="001F0372"/>
    <w:rsid w:val="001F07BF"/>
    <w:rsid w:val="001F0BEA"/>
    <w:rsid w:val="001F1C24"/>
    <w:rsid w:val="001F22BB"/>
    <w:rsid w:val="001F249D"/>
    <w:rsid w:val="001F2C89"/>
    <w:rsid w:val="001F37A5"/>
    <w:rsid w:val="001F396B"/>
    <w:rsid w:val="001F3EC5"/>
    <w:rsid w:val="001F448E"/>
    <w:rsid w:val="001F463D"/>
    <w:rsid w:val="001F4BD7"/>
    <w:rsid w:val="001F4D59"/>
    <w:rsid w:val="001F5926"/>
    <w:rsid w:val="001F5B14"/>
    <w:rsid w:val="001F5DE1"/>
    <w:rsid w:val="001F6568"/>
    <w:rsid w:val="001F6C95"/>
    <w:rsid w:val="001F6DA5"/>
    <w:rsid w:val="001F7199"/>
    <w:rsid w:val="001F75BB"/>
    <w:rsid w:val="001F7B8E"/>
    <w:rsid w:val="00200034"/>
    <w:rsid w:val="00200287"/>
    <w:rsid w:val="0020057F"/>
    <w:rsid w:val="002005CA"/>
    <w:rsid w:val="00200826"/>
    <w:rsid w:val="00200833"/>
    <w:rsid w:val="00200A29"/>
    <w:rsid w:val="00200A4D"/>
    <w:rsid w:val="0020261F"/>
    <w:rsid w:val="00203382"/>
    <w:rsid w:val="00203A60"/>
    <w:rsid w:val="00203FC4"/>
    <w:rsid w:val="002044CB"/>
    <w:rsid w:val="00204944"/>
    <w:rsid w:val="002049B8"/>
    <w:rsid w:val="00204DBA"/>
    <w:rsid w:val="00205B50"/>
    <w:rsid w:val="00206116"/>
    <w:rsid w:val="00206594"/>
    <w:rsid w:val="002076C9"/>
    <w:rsid w:val="00207731"/>
    <w:rsid w:val="00207DEA"/>
    <w:rsid w:val="00210228"/>
    <w:rsid w:val="002103B3"/>
    <w:rsid w:val="002117D1"/>
    <w:rsid w:val="00211B64"/>
    <w:rsid w:val="00211FC6"/>
    <w:rsid w:val="00212FD7"/>
    <w:rsid w:val="002139E2"/>
    <w:rsid w:val="0021476F"/>
    <w:rsid w:val="00214D58"/>
    <w:rsid w:val="00214D60"/>
    <w:rsid w:val="00214EB8"/>
    <w:rsid w:val="0021504D"/>
    <w:rsid w:val="002150C6"/>
    <w:rsid w:val="0021598C"/>
    <w:rsid w:val="00215CF3"/>
    <w:rsid w:val="002164B5"/>
    <w:rsid w:val="00216CB2"/>
    <w:rsid w:val="002173BB"/>
    <w:rsid w:val="0021741D"/>
    <w:rsid w:val="00217683"/>
    <w:rsid w:val="002201BE"/>
    <w:rsid w:val="002204E1"/>
    <w:rsid w:val="002207E3"/>
    <w:rsid w:val="0022088E"/>
    <w:rsid w:val="002210C6"/>
    <w:rsid w:val="00221462"/>
    <w:rsid w:val="0022220A"/>
    <w:rsid w:val="0022234D"/>
    <w:rsid w:val="002227D8"/>
    <w:rsid w:val="0022283C"/>
    <w:rsid w:val="00222D73"/>
    <w:rsid w:val="00222E82"/>
    <w:rsid w:val="002230F0"/>
    <w:rsid w:val="00223AD6"/>
    <w:rsid w:val="00223BAC"/>
    <w:rsid w:val="00223D6F"/>
    <w:rsid w:val="00224242"/>
    <w:rsid w:val="00224297"/>
    <w:rsid w:val="00224AF4"/>
    <w:rsid w:val="0022515F"/>
    <w:rsid w:val="002255EE"/>
    <w:rsid w:val="0022568D"/>
    <w:rsid w:val="002259AF"/>
    <w:rsid w:val="00225D67"/>
    <w:rsid w:val="00225E82"/>
    <w:rsid w:val="00225F9E"/>
    <w:rsid w:val="002263AD"/>
    <w:rsid w:val="002263F6"/>
    <w:rsid w:val="0022658B"/>
    <w:rsid w:val="00226A36"/>
    <w:rsid w:val="00226C57"/>
    <w:rsid w:val="00226CD6"/>
    <w:rsid w:val="00226F1D"/>
    <w:rsid w:val="002278F8"/>
    <w:rsid w:val="002301DD"/>
    <w:rsid w:val="0023022F"/>
    <w:rsid w:val="00230EF7"/>
    <w:rsid w:val="00231295"/>
    <w:rsid w:val="00231B73"/>
    <w:rsid w:val="00231E6D"/>
    <w:rsid w:val="00233472"/>
    <w:rsid w:val="00233B86"/>
    <w:rsid w:val="00233E4A"/>
    <w:rsid w:val="002340BE"/>
    <w:rsid w:val="002342CE"/>
    <w:rsid w:val="0023534C"/>
    <w:rsid w:val="0023566A"/>
    <w:rsid w:val="00235D0C"/>
    <w:rsid w:val="002365E3"/>
    <w:rsid w:val="00236A15"/>
    <w:rsid w:val="00237037"/>
    <w:rsid w:val="00237296"/>
    <w:rsid w:val="00240068"/>
    <w:rsid w:val="0024022A"/>
    <w:rsid w:val="002405C0"/>
    <w:rsid w:val="0024060F"/>
    <w:rsid w:val="00241AD3"/>
    <w:rsid w:val="002421DC"/>
    <w:rsid w:val="002421E4"/>
    <w:rsid w:val="002423D5"/>
    <w:rsid w:val="002426F3"/>
    <w:rsid w:val="0024279A"/>
    <w:rsid w:val="00242CE8"/>
    <w:rsid w:val="00243015"/>
    <w:rsid w:val="00243B33"/>
    <w:rsid w:val="00243D2E"/>
    <w:rsid w:val="00244055"/>
    <w:rsid w:val="00244CDB"/>
    <w:rsid w:val="00245093"/>
    <w:rsid w:val="0024517E"/>
    <w:rsid w:val="002452A0"/>
    <w:rsid w:val="00245C77"/>
    <w:rsid w:val="00245DC3"/>
    <w:rsid w:val="00245DCD"/>
    <w:rsid w:val="0024649B"/>
    <w:rsid w:val="00246970"/>
    <w:rsid w:val="00246B0D"/>
    <w:rsid w:val="00247218"/>
    <w:rsid w:val="002472BA"/>
    <w:rsid w:val="00247711"/>
    <w:rsid w:val="00247A36"/>
    <w:rsid w:val="00247F6A"/>
    <w:rsid w:val="0025081F"/>
    <w:rsid w:val="00250AD2"/>
    <w:rsid w:val="00251379"/>
    <w:rsid w:val="00251445"/>
    <w:rsid w:val="00251680"/>
    <w:rsid w:val="00251EFF"/>
    <w:rsid w:val="00252585"/>
    <w:rsid w:val="00252824"/>
    <w:rsid w:val="00253536"/>
    <w:rsid w:val="00254003"/>
    <w:rsid w:val="00255779"/>
    <w:rsid w:val="0025611F"/>
    <w:rsid w:val="00256273"/>
    <w:rsid w:val="00256391"/>
    <w:rsid w:val="002571E4"/>
    <w:rsid w:val="002575F4"/>
    <w:rsid w:val="00257999"/>
    <w:rsid w:val="00257EE8"/>
    <w:rsid w:val="00260382"/>
    <w:rsid w:val="00260597"/>
    <w:rsid w:val="00260785"/>
    <w:rsid w:val="00260828"/>
    <w:rsid w:val="002613F5"/>
    <w:rsid w:val="00263363"/>
    <w:rsid w:val="0026367B"/>
    <w:rsid w:val="00263CB6"/>
    <w:rsid w:val="00263DB2"/>
    <w:rsid w:val="002641D0"/>
    <w:rsid w:val="00264577"/>
    <w:rsid w:val="00264F2F"/>
    <w:rsid w:val="002655F3"/>
    <w:rsid w:val="00266E2C"/>
    <w:rsid w:val="00267248"/>
    <w:rsid w:val="00267756"/>
    <w:rsid w:val="00267A3C"/>
    <w:rsid w:val="00267CEC"/>
    <w:rsid w:val="00267F41"/>
    <w:rsid w:val="00270629"/>
    <w:rsid w:val="002707B9"/>
    <w:rsid w:val="00270C81"/>
    <w:rsid w:val="00270F77"/>
    <w:rsid w:val="002711F2"/>
    <w:rsid w:val="00271B0E"/>
    <w:rsid w:val="00271F38"/>
    <w:rsid w:val="00272219"/>
    <w:rsid w:val="00272A94"/>
    <w:rsid w:val="002739EF"/>
    <w:rsid w:val="00273A8F"/>
    <w:rsid w:val="00273FFF"/>
    <w:rsid w:val="0027434D"/>
    <w:rsid w:val="002749E9"/>
    <w:rsid w:val="00274E64"/>
    <w:rsid w:val="0027527C"/>
    <w:rsid w:val="002754C5"/>
    <w:rsid w:val="002754C6"/>
    <w:rsid w:val="002755AF"/>
    <w:rsid w:val="00275954"/>
    <w:rsid w:val="00275F10"/>
    <w:rsid w:val="00277518"/>
    <w:rsid w:val="002778AB"/>
    <w:rsid w:val="00280AF5"/>
    <w:rsid w:val="00280C23"/>
    <w:rsid w:val="00281885"/>
    <w:rsid w:val="00281A01"/>
    <w:rsid w:val="00281A36"/>
    <w:rsid w:val="00281A43"/>
    <w:rsid w:val="00281BBA"/>
    <w:rsid w:val="00282022"/>
    <w:rsid w:val="002824C8"/>
    <w:rsid w:val="00282AD7"/>
    <w:rsid w:val="0028405B"/>
    <w:rsid w:val="0028468A"/>
    <w:rsid w:val="0028525C"/>
    <w:rsid w:val="0028638D"/>
    <w:rsid w:val="00286786"/>
    <w:rsid w:val="002878E6"/>
    <w:rsid w:val="00287A21"/>
    <w:rsid w:val="00287AE8"/>
    <w:rsid w:val="002902FF"/>
    <w:rsid w:val="0029035D"/>
    <w:rsid w:val="002905F5"/>
    <w:rsid w:val="00290FF1"/>
    <w:rsid w:val="00291067"/>
    <w:rsid w:val="00291EFC"/>
    <w:rsid w:val="00292902"/>
    <w:rsid w:val="00292A19"/>
    <w:rsid w:val="00292A3B"/>
    <w:rsid w:val="00292D91"/>
    <w:rsid w:val="00293163"/>
    <w:rsid w:val="002933D7"/>
    <w:rsid w:val="00293A1A"/>
    <w:rsid w:val="00293D4C"/>
    <w:rsid w:val="002953CF"/>
    <w:rsid w:val="00295480"/>
    <w:rsid w:val="002960E1"/>
    <w:rsid w:val="002968B5"/>
    <w:rsid w:val="002969D6"/>
    <w:rsid w:val="00296C07"/>
    <w:rsid w:val="0029766F"/>
    <w:rsid w:val="00297A96"/>
    <w:rsid w:val="00297BAA"/>
    <w:rsid w:val="00297CBD"/>
    <w:rsid w:val="00297FB3"/>
    <w:rsid w:val="002A0AF0"/>
    <w:rsid w:val="002A0C73"/>
    <w:rsid w:val="002A1725"/>
    <w:rsid w:val="002A1D6F"/>
    <w:rsid w:val="002A22C4"/>
    <w:rsid w:val="002A285C"/>
    <w:rsid w:val="002A28AD"/>
    <w:rsid w:val="002A3654"/>
    <w:rsid w:val="002A3875"/>
    <w:rsid w:val="002A38C0"/>
    <w:rsid w:val="002A3F94"/>
    <w:rsid w:val="002A43DD"/>
    <w:rsid w:val="002A4A05"/>
    <w:rsid w:val="002A59A3"/>
    <w:rsid w:val="002A5B99"/>
    <w:rsid w:val="002A606D"/>
    <w:rsid w:val="002A7C16"/>
    <w:rsid w:val="002B03E8"/>
    <w:rsid w:val="002B10C7"/>
    <w:rsid w:val="002B13A8"/>
    <w:rsid w:val="002B142F"/>
    <w:rsid w:val="002B1563"/>
    <w:rsid w:val="002B1D63"/>
    <w:rsid w:val="002B23BB"/>
    <w:rsid w:val="002B2937"/>
    <w:rsid w:val="002B2A12"/>
    <w:rsid w:val="002B317D"/>
    <w:rsid w:val="002B31BF"/>
    <w:rsid w:val="002B3552"/>
    <w:rsid w:val="002B36A9"/>
    <w:rsid w:val="002B36AD"/>
    <w:rsid w:val="002B3745"/>
    <w:rsid w:val="002B3992"/>
    <w:rsid w:val="002B45E9"/>
    <w:rsid w:val="002B46E0"/>
    <w:rsid w:val="002B4B27"/>
    <w:rsid w:val="002B52AC"/>
    <w:rsid w:val="002B552E"/>
    <w:rsid w:val="002B5685"/>
    <w:rsid w:val="002B5978"/>
    <w:rsid w:val="002B5ADF"/>
    <w:rsid w:val="002B5C2C"/>
    <w:rsid w:val="002B5DCD"/>
    <w:rsid w:val="002B6609"/>
    <w:rsid w:val="002B6739"/>
    <w:rsid w:val="002B69C3"/>
    <w:rsid w:val="002B6BEB"/>
    <w:rsid w:val="002B7007"/>
    <w:rsid w:val="002B75F0"/>
    <w:rsid w:val="002B7636"/>
    <w:rsid w:val="002C0129"/>
    <w:rsid w:val="002C087C"/>
    <w:rsid w:val="002C09E1"/>
    <w:rsid w:val="002C0A4F"/>
    <w:rsid w:val="002C0CEC"/>
    <w:rsid w:val="002C1459"/>
    <w:rsid w:val="002C156B"/>
    <w:rsid w:val="002C165A"/>
    <w:rsid w:val="002C1D11"/>
    <w:rsid w:val="002C1FCF"/>
    <w:rsid w:val="002C2A73"/>
    <w:rsid w:val="002C4047"/>
    <w:rsid w:val="002C42E1"/>
    <w:rsid w:val="002C4631"/>
    <w:rsid w:val="002C463E"/>
    <w:rsid w:val="002C499E"/>
    <w:rsid w:val="002C4A1F"/>
    <w:rsid w:val="002C549D"/>
    <w:rsid w:val="002C56E7"/>
    <w:rsid w:val="002C575A"/>
    <w:rsid w:val="002C6E45"/>
    <w:rsid w:val="002C72F8"/>
    <w:rsid w:val="002C74D1"/>
    <w:rsid w:val="002C772F"/>
    <w:rsid w:val="002C7CF6"/>
    <w:rsid w:val="002C7DBF"/>
    <w:rsid w:val="002D04FA"/>
    <w:rsid w:val="002D0952"/>
    <w:rsid w:val="002D0F67"/>
    <w:rsid w:val="002D1B84"/>
    <w:rsid w:val="002D21AD"/>
    <w:rsid w:val="002D26C9"/>
    <w:rsid w:val="002D2D73"/>
    <w:rsid w:val="002D31A4"/>
    <w:rsid w:val="002D3C5F"/>
    <w:rsid w:val="002D4100"/>
    <w:rsid w:val="002D43F7"/>
    <w:rsid w:val="002D4465"/>
    <w:rsid w:val="002D468E"/>
    <w:rsid w:val="002D4B86"/>
    <w:rsid w:val="002D5A1F"/>
    <w:rsid w:val="002D5C66"/>
    <w:rsid w:val="002D5D7B"/>
    <w:rsid w:val="002D631B"/>
    <w:rsid w:val="002D6CDA"/>
    <w:rsid w:val="002D6F1C"/>
    <w:rsid w:val="002D702D"/>
    <w:rsid w:val="002D70DB"/>
    <w:rsid w:val="002D7BFA"/>
    <w:rsid w:val="002D7CCB"/>
    <w:rsid w:val="002D7D5D"/>
    <w:rsid w:val="002E12CB"/>
    <w:rsid w:val="002E1A70"/>
    <w:rsid w:val="002E20AE"/>
    <w:rsid w:val="002E283C"/>
    <w:rsid w:val="002E2B8D"/>
    <w:rsid w:val="002E2F3C"/>
    <w:rsid w:val="002E30A8"/>
    <w:rsid w:val="002E3265"/>
    <w:rsid w:val="002E3D8F"/>
    <w:rsid w:val="002E44F2"/>
    <w:rsid w:val="002E4D11"/>
    <w:rsid w:val="002E5BE1"/>
    <w:rsid w:val="002E5E67"/>
    <w:rsid w:val="002E67C7"/>
    <w:rsid w:val="002E74C4"/>
    <w:rsid w:val="002E75E7"/>
    <w:rsid w:val="002E7DD2"/>
    <w:rsid w:val="002F01E3"/>
    <w:rsid w:val="002F0380"/>
    <w:rsid w:val="002F0C91"/>
    <w:rsid w:val="002F0E8A"/>
    <w:rsid w:val="002F165E"/>
    <w:rsid w:val="002F17B6"/>
    <w:rsid w:val="002F1A5C"/>
    <w:rsid w:val="002F2381"/>
    <w:rsid w:val="002F2798"/>
    <w:rsid w:val="002F2BE4"/>
    <w:rsid w:val="002F2F11"/>
    <w:rsid w:val="002F31EC"/>
    <w:rsid w:val="002F3349"/>
    <w:rsid w:val="002F3379"/>
    <w:rsid w:val="002F3398"/>
    <w:rsid w:val="002F33DF"/>
    <w:rsid w:val="002F3852"/>
    <w:rsid w:val="002F43DB"/>
    <w:rsid w:val="002F4BBD"/>
    <w:rsid w:val="002F5A62"/>
    <w:rsid w:val="002F6666"/>
    <w:rsid w:val="002F6D3F"/>
    <w:rsid w:val="002F6E09"/>
    <w:rsid w:val="002F748C"/>
    <w:rsid w:val="002F7C9F"/>
    <w:rsid w:val="00300090"/>
    <w:rsid w:val="003007AA"/>
    <w:rsid w:val="00300B05"/>
    <w:rsid w:val="00300CE8"/>
    <w:rsid w:val="00301488"/>
    <w:rsid w:val="003016FF"/>
    <w:rsid w:val="00302685"/>
    <w:rsid w:val="00302AA0"/>
    <w:rsid w:val="00302D0B"/>
    <w:rsid w:val="00303898"/>
    <w:rsid w:val="003039FF"/>
    <w:rsid w:val="00303A19"/>
    <w:rsid w:val="003042D4"/>
    <w:rsid w:val="00304CD9"/>
    <w:rsid w:val="00304F1D"/>
    <w:rsid w:val="0030543A"/>
    <w:rsid w:val="00305900"/>
    <w:rsid w:val="00305C7C"/>
    <w:rsid w:val="003061C6"/>
    <w:rsid w:val="003065F2"/>
    <w:rsid w:val="00307051"/>
    <w:rsid w:val="003077AF"/>
    <w:rsid w:val="003079DB"/>
    <w:rsid w:val="00307C78"/>
    <w:rsid w:val="00307F8C"/>
    <w:rsid w:val="00310AE0"/>
    <w:rsid w:val="003111A1"/>
    <w:rsid w:val="003111AD"/>
    <w:rsid w:val="003117CF"/>
    <w:rsid w:val="00311C0B"/>
    <w:rsid w:val="00313264"/>
    <w:rsid w:val="0031342E"/>
    <w:rsid w:val="00313A74"/>
    <w:rsid w:val="00313FE8"/>
    <w:rsid w:val="00314A78"/>
    <w:rsid w:val="00314C9E"/>
    <w:rsid w:val="00315533"/>
    <w:rsid w:val="00315E99"/>
    <w:rsid w:val="00316366"/>
    <w:rsid w:val="003167EB"/>
    <w:rsid w:val="00316B75"/>
    <w:rsid w:val="00316E42"/>
    <w:rsid w:val="003207F1"/>
    <w:rsid w:val="003209F8"/>
    <w:rsid w:val="00320CA4"/>
    <w:rsid w:val="00321008"/>
    <w:rsid w:val="0032111C"/>
    <w:rsid w:val="003213CF"/>
    <w:rsid w:val="003214BA"/>
    <w:rsid w:val="003217EB"/>
    <w:rsid w:val="00322431"/>
    <w:rsid w:val="003224A5"/>
    <w:rsid w:val="00322CA6"/>
    <w:rsid w:val="00323875"/>
    <w:rsid w:val="00323AF0"/>
    <w:rsid w:val="0032404E"/>
    <w:rsid w:val="003245E3"/>
    <w:rsid w:val="003249A7"/>
    <w:rsid w:val="00324C64"/>
    <w:rsid w:val="00325219"/>
    <w:rsid w:val="003252DD"/>
    <w:rsid w:val="00326498"/>
    <w:rsid w:val="003271C0"/>
    <w:rsid w:val="003273E9"/>
    <w:rsid w:val="00327F1C"/>
    <w:rsid w:val="00330429"/>
    <w:rsid w:val="00330A66"/>
    <w:rsid w:val="00331191"/>
    <w:rsid w:val="0033190B"/>
    <w:rsid w:val="00331B19"/>
    <w:rsid w:val="003321B9"/>
    <w:rsid w:val="00332958"/>
    <w:rsid w:val="00332B6A"/>
    <w:rsid w:val="00332CE5"/>
    <w:rsid w:val="00332CF7"/>
    <w:rsid w:val="00333730"/>
    <w:rsid w:val="00334DAC"/>
    <w:rsid w:val="003365A4"/>
    <w:rsid w:val="003366A2"/>
    <w:rsid w:val="003373FA"/>
    <w:rsid w:val="003379B3"/>
    <w:rsid w:val="00337C62"/>
    <w:rsid w:val="00340344"/>
    <w:rsid w:val="003405BD"/>
    <w:rsid w:val="00340999"/>
    <w:rsid w:val="00340B33"/>
    <w:rsid w:val="00340B42"/>
    <w:rsid w:val="00340CC9"/>
    <w:rsid w:val="003410FA"/>
    <w:rsid w:val="003414A5"/>
    <w:rsid w:val="00341646"/>
    <w:rsid w:val="003418F0"/>
    <w:rsid w:val="00343085"/>
    <w:rsid w:val="003431D9"/>
    <w:rsid w:val="00344963"/>
    <w:rsid w:val="00344A96"/>
    <w:rsid w:val="00344F4B"/>
    <w:rsid w:val="00345344"/>
    <w:rsid w:val="00346484"/>
    <w:rsid w:val="003465DB"/>
    <w:rsid w:val="00347251"/>
    <w:rsid w:val="003476B2"/>
    <w:rsid w:val="003500E9"/>
    <w:rsid w:val="00350C32"/>
    <w:rsid w:val="00350EE0"/>
    <w:rsid w:val="00350F42"/>
    <w:rsid w:val="00350FB5"/>
    <w:rsid w:val="00350FC1"/>
    <w:rsid w:val="003515BA"/>
    <w:rsid w:val="00351BFA"/>
    <w:rsid w:val="00352196"/>
    <w:rsid w:val="003526A7"/>
    <w:rsid w:val="003527A2"/>
    <w:rsid w:val="003530D8"/>
    <w:rsid w:val="00353929"/>
    <w:rsid w:val="00353C3D"/>
    <w:rsid w:val="003543CF"/>
    <w:rsid w:val="00354753"/>
    <w:rsid w:val="00355B5E"/>
    <w:rsid w:val="00355CF2"/>
    <w:rsid w:val="00355EF4"/>
    <w:rsid w:val="00356479"/>
    <w:rsid w:val="003566D0"/>
    <w:rsid w:val="00356727"/>
    <w:rsid w:val="00356ACE"/>
    <w:rsid w:val="00356B5B"/>
    <w:rsid w:val="00356DDF"/>
    <w:rsid w:val="003572EC"/>
    <w:rsid w:val="0035732B"/>
    <w:rsid w:val="003574BC"/>
    <w:rsid w:val="00357855"/>
    <w:rsid w:val="00357A5E"/>
    <w:rsid w:val="00360099"/>
    <w:rsid w:val="00360BC2"/>
    <w:rsid w:val="00360F8F"/>
    <w:rsid w:val="00361802"/>
    <w:rsid w:val="00361D8D"/>
    <w:rsid w:val="003620ED"/>
    <w:rsid w:val="00362B40"/>
    <w:rsid w:val="003632D9"/>
    <w:rsid w:val="00363A85"/>
    <w:rsid w:val="00363FF5"/>
    <w:rsid w:val="00364B9C"/>
    <w:rsid w:val="00364C0C"/>
    <w:rsid w:val="0036508F"/>
    <w:rsid w:val="003654A1"/>
    <w:rsid w:val="0036585B"/>
    <w:rsid w:val="00365B91"/>
    <w:rsid w:val="00365EBA"/>
    <w:rsid w:val="0036607F"/>
    <w:rsid w:val="00366750"/>
    <w:rsid w:val="00366F2F"/>
    <w:rsid w:val="00366F64"/>
    <w:rsid w:val="003670C7"/>
    <w:rsid w:val="00367496"/>
    <w:rsid w:val="00367E23"/>
    <w:rsid w:val="00367EA2"/>
    <w:rsid w:val="00367FAA"/>
    <w:rsid w:val="00370237"/>
    <w:rsid w:val="0037045B"/>
    <w:rsid w:val="0037086F"/>
    <w:rsid w:val="0037146D"/>
    <w:rsid w:val="0037147A"/>
    <w:rsid w:val="00371A6D"/>
    <w:rsid w:val="0037259F"/>
    <w:rsid w:val="00372661"/>
    <w:rsid w:val="00372756"/>
    <w:rsid w:val="00373411"/>
    <w:rsid w:val="003738FC"/>
    <w:rsid w:val="003745AD"/>
    <w:rsid w:val="0037496D"/>
    <w:rsid w:val="00375B46"/>
    <w:rsid w:val="00375FA4"/>
    <w:rsid w:val="003760F9"/>
    <w:rsid w:val="00376145"/>
    <w:rsid w:val="00376563"/>
    <w:rsid w:val="00376E03"/>
    <w:rsid w:val="00377481"/>
    <w:rsid w:val="0037757F"/>
    <w:rsid w:val="00377FE2"/>
    <w:rsid w:val="003803D7"/>
    <w:rsid w:val="003815D1"/>
    <w:rsid w:val="00381B56"/>
    <w:rsid w:val="003824F7"/>
    <w:rsid w:val="003825EC"/>
    <w:rsid w:val="0038283D"/>
    <w:rsid w:val="003828F7"/>
    <w:rsid w:val="00382D67"/>
    <w:rsid w:val="00382DC9"/>
    <w:rsid w:val="003833FA"/>
    <w:rsid w:val="003840E3"/>
    <w:rsid w:val="003841B1"/>
    <w:rsid w:val="003841C7"/>
    <w:rsid w:val="003843BC"/>
    <w:rsid w:val="0038490D"/>
    <w:rsid w:val="0038504E"/>
    <w:rsid w:val="00385208"/>
    <w:rsid w:val="003853BF"/>
    <w:rsid w:val="003857FA"/>
    <w:rsid w:val="003858BC"/>
    <w:rsid w:val="00385B15"/>
    <w:rsid w:val="003864EE"/>
    <w:rsid w:val="00386C14"/>
    <w:rsid w:val="00387FAF"/>
    <w:rsid w:val="00390587"/>
    <w:rsid w:val="00390748"/>
    <w:rsid w:val="00390963"/>
    <w:rsid w:val="00390BB0"/>
    <w:rsid w:val="00390F41"/>
    <w:rsid w:val="003911EE"/>
    <w:rsid w:val="00391216"/>
    <w:rsid w:val="00391380"/>
    <w:rsid w:val="003919A5"/>
    <w:rsid w:val="00391E36"/>
    <w:rsid w:val="0039201E"/>
    <w:rsid w:val="00392349"/>
    <w:rsid w:val="003924B4"/>
    <w:rsid w:val="0039373C"/>
    <w:rsid w:val="00393750"/>
    <w:rsid w:val="00393AF3"/>
    <w:rsid w:val="00393C66"/>
    <w:rsid w:val="00393ECE"/>
    <w:rsid w:val="003944F9"/>
    <w:rsid w:val="00394E04"/>
    <w:rsid w:val="003959E2"/>
    <w:rsid w:val="00395CFA"/>
    <w:rsid w:val="0039705F"/>
    <w:rsid w:val="0039737E"/>
    <w:rsid w:val="003975F0"/>
    <w:rsid w:val="00397E59"/>
    <w:rsid w:val="003A0243"/>
    <w:rsid w:val="003A0F1D"/>
    <w:rsid w:val="003A0F77"/>
    <w:rsid w:val="003A1215"/>
    <w:rsid w:val="003A12C0"/>
    <w:rsid w:val="003A18DB"/>
    <w:rsid w:val="003A2147"/>
    <w:rsid w:val="003A34D5"/>
    <w:rsid w:val="003A3922"/>
    <w:rsid w:val="003A3991"/>
    <w:rsid w:val="003A3A19"/>
    <w:rsid w:val="003A3A95"/>
    <w:rsid w:val="003A3A9F"/>
    <w:rsid w:val="003A41BC"/>
    <w:rsid w:val="003A4400"/>
    <w:rsid w:val="003A4A29"/>
    <w:rsid w:val="003A65A4"/>
    <w:rsid w:val="003A6B7F"/>
    <w:rsid w:val="003A6EA2"/>
    <w:rsid w:val="003A70FF"/>
    <w:rsid w:val="003A7CDC"/>
    <w:rsid w:val="003A7EF1"/>
    <w:rsid w:val="003B0273"/>
    <w:rsid w:val="003B03CE"/>
    <w:rsid w:val="003B096D"/>
    <w:rsid w:val="003B0E79"/>
    <w:rsid w:val="003B1C2F"/>
    <w:rsid w:val="003B3116"/>
    <w:rsid w:val="003B34C2"/>
    <w:rsid w:val="003B34EA"/>
    <w:rsid w:val="003B3664"/>
    <w:rsid w:val="003B3B4D"/>
    <w:rsid w:val="003B3F02"/>
    <w:rsid w:val="003B3FD2"/>
    <w:rsid w:val="003B4646"/>
    <w:rsid w:val="003B52EE"/>
    <w:rsid w:val="003B617F"/>
    <w:rsid w:val="003B6456"/>
    <w:rsid w:val="003B706F"/>
    <w:rsid w:val="003B7319"/>
    <w:rsid w:val="003B7505"/>
    <w:rsid w:val="003B7E94"/>
    <w:rsid w:val="003C0C1D"/>
    <w:rsid w:val="003C112B"/>
    <w:rsid w:val="003C1A1C"/>
    <w:rsid w:val="003C1C5A"/>
    <w:rsid w:val="003C1F4B"/>
    <w:rsid w:val="003C2766"/>
    <w:rsid w:val="003C2B85"/>
    <w:rsid w:val="003C33E0"/>
    <w:rsid w:val="003C35D7"/>
    <w:rsid w:val="003C3A26"/>
    <w:rsid w:val="003C4988"/>
    <w:rsid w:val="003C560A"/>
    <w:rsid w:val="003C5717"/>
    <w:rsid w:val="003C5945"/>
    <w:rsid w:val="003C62C4"/>
    <w:rsid w:val="003C63AC"/>
    <w:rsid w:val="003C646F"/>
    <w:rsid w:val="003C6FD3"/>
    <w:rsid w:val="003C7298"/>
    <w:rsid w:val="003C77D4"/>
    <w:rsid w:val="003C7C94"/>
    <w:rsid w:val="003C7FE2"/>
    <w:rsid w:val="003D0176"/>
    <w:rsid w:val="003D0338"/>
    <w:rsid w:val="003D0936"/>
    <w:rsid w:val="003D0EC0"/>
    <w:rsid w:val="003D11C5"/>
    <w:rsid w:val="003D1335"/>
    <w:rsid w:val="003D1902"/>
    <w:rsid w:val="003D1DE4"/>
    <w:rsid w:val="003D2047"/>
    <w:rsid w:val="003D2AB8"/>
    <w:rsid w:val="003D2F49"/>
    <w:rsid w:val="003D3DBE"/>
    <w:rsid w:val="003D4B2E"/>
    <w:rsid w:val="003D55E8"/>
    <w:rsid w:val="003D570E"/>
    <w:rsid w:val="003D6379"/>
    <w:rsid w:val="003D7084"/>
    <w:rsid w:val="003D77EE"/>
    <w:rsid w:val="003D7B3C"/>
    <w:rsid w:val="003E0595"/>
    <w:rsid w:val="003E07AA"/>
    <w:rsid w:val="003E1847"/>
    <w:rsid w:val="003E18C8"/>
    <w:rsid w:val="003E232C"/>
    <w:rsid w:val="003E291A"/>
    <w:rsid w:val="003E2B6F"/>
    <w:rsid w:val="003E3171"/>
    <w:rsid w:val="003E3D22"/>
    <w:rsid w:val="003E406D"/>
    <w:rsid w:val="003E5340"/>
    <w:rsid w:val="003E53C9"/>
    <w:rsid w:val="003E58A8"/>
    <w:rsid w:val="003E7143"/>
    <w:rsid w:val="003E7238"/>
    <w:rsid w:val="003E75C6"/>
    <w:rsid w:val="003E786B"/>
    <w:rsid w:val="003E7A66"/>
    <w:rsid w:val="003E7D01"/>
    <w:rsid w:val="003F04DA"/>
    <w:rsid w:val="003F088A"/>
    <w:rsid w:val="003F088C"/>
    <w:rsid w:val="003F0AC3"/>
    <w:rsid w:val="003F1A27"/>
    <w:rsid w:val="003F1BBC"/>
    <w:rsid w:val="003F30B5"/>
    <w:rsid w:val="003F31CB"/>
    <w:rsid w:val="003F37E9"/>
    <w:rsid w:val="003F3C33"/>
    <w:rsid w:val="003F3D9B"/>
    <w:rsid w:val="003F422F"/>
    <w:rsid w:val="003F4278"/>
    <w:rsid w:val="003F4483"/>
    <w:rsid w:val="003F522C"/>
    <w:rsid w:val="003F53FD"/>
    <w:rsid w:val="003F54DB"/>
    <w:rsid w:val="003F5784"/>
    <w:rsid w:val="003F5897"/>
    <w:rsid w:val="003F649F"/>
    <w:rsid w:val="003F6BB4"/>
    <w:rsid w:val="003F6D34"/>
    <w:rsid w:val="003F6EB3"/>
    <w:rsid w:val="003F782C"/>
    <w:rsid w:val="003F7A7B"/>
    <w:rsid w:val="003F7C46"/>
    <w:rsid w:val="003F7E87"/>
    <w:rsid w:val="00400378"/>
    <w:rsid w:val="004008E7"/>
    <w:rsid w:val="00400EAB"/>
    <w:rsid w:val="00400EB3"/>
    <w:rsid w:val="004011A7"/>
    <w:rsid w:val="00401304"/>
    <w:rsid w:val="004013F6"/>
    <w:rsid w:val="004018B1"/>
    <w:rsid w:val="00401DB4"/>
    <w:rsid w:val="0040222A"/>
    <w:rsid w:val="00402932"/>
    <w:rsid w:val="00402DAB"/>
    <w:rsid w:val="00403949"/>
    <w:rsid w:val="00404F98"/>
    <w:rsid w:val="00405BA6"/>
    <w:rsid w:val="0040623D"/>
    <w:rsid w:val="004068A1"/>
    <w:rsid w:val="00406C89"/>
    <w:rsid w:val="00406CB5"/>
    <w:rsid w:val="00407486"/>
    <w:rsid w:val="004075B3"/>
    <w:rsid w:val="0040788B"/>
    <w:rsid w:val="00407DCE"/>
    <w:rsid w:val="004100BB"/>
    <w:rsid w:val="00410A8D"/>
    <w:rsid w:val="00411315"/>
    <w:rsid w:val="00411D7E"/>
    <w:rsid w:val="00412638"/>
    <w:rsid w:val="00412997"/>
    <w:rsid w:val="0041364C"/>
    <w:rsid w:val="00413739"/>
    <w:rsid w:val="00413A86"/>
    <w:rsid w:val="00413EF3"/>
    <w:rsid w:val="00414960"/>
    <w:rsid w:val="00414C35"/>
    <w:rsid w:val="00415207"/>
    <w:rsid w:val="004157EB"/>
    <w:rsid w:val="00415E49"/>
    <w:rsid w:val="00417B51"/>
    <w:rsid w:val="00417C3A"/>
    <w:rsid w:val="00417D9E"/>
    <w:rsid w:val="00420520"/>
    <w:rsid w:val="00420B11"/>
    <w:rsid w:val="00420F2F"/>
    <w:rsid w:val="00421623"/>
    <w:rsid w:val="00421B2E"/>
    <w:rsid w:val="00421DC7"/>
    <w:rsid w:val="00422049"/>
    <w:rsid w:val="00422EE6"/>
    <w:rsid w:val="00422EF9"/>
    <w:rsid w:val="00423201"/>
    <w:rsid w:val="00423734"/>
    <w:rsid w:val="00424174"/>
    <w:rsid w:val="0042488E"/>
    <w:rsid w:val="00424F57"/>
    <w:rsid w:val="004254CC"/>
    <w:rsid w:val="004257A2"/>
    <w:rsid w:val="00425B55"/>
    <w:rsid w:val="00425FFA"/>
    <w:rsid w:val="00427216"/>
    <w:rsid w:val="00427578"/>
    <w:rsid w:val="00427C76"/>
    <w:rsid w:val="00430B84"/>
    <w:rsid w:val="00431002"/>
    <w:rsid w:val="00431068"/>
    <w:rsid w:val="0043132C"/>
    <w:rsid w:val="004317E5"/>
    <w:rsid w:val="00432E5E"/>
    <w:rsid w:val="00432EC3"/>
    <w:rsid w:val="00433092"/>
    <w:rsid w:val="00433112"/>
    <w:rsid w:val="004331D1"/>
    <w:rsid w:val="0043324F"/>
    <w:rsid w:val="00433562"/>
    <w:rsid w:val="0043447A"/>
    <w:rsid w:val="0043448E"/>
    <w:rsid w:val="00434702"/>
    <w:rsid w:val="004347AB"/>
    <w:rsid w:val="00434894"/>
    <w:rsid w:val="00434CBE"/>
    <w:rsid w:val="00434F4D"/>
    <w:rsid w:val="004352D2"/>
    <w:rsid w:val="004360FE"/>
    <w:rsid w:val="0043627B"/>
    <w:rsid w:val="004368D4"/>
    <w:rsid w:val="00436E8F"/>
    <w:rsid w:val="0043730E"/>
    <w:rsid w:val="00437E18"/>
    <w:rsid w:val="00440871"/>
    <w:rsid w:val="00441316"/>
    <w:rsid w:val="00441943"/>
    <w:rsid w:val="00441A8C"/>
    <w:rsid w:val="004423A2"/>
    <w:rsid w:val="0044276B"/>
    <w:rsid w:val="00442B34"/>
    <w:rsid w:val="00442D2B"/>
    <w:rsid w:val="00443148"/>
    <w:rsid w:val="00443AC2"/>
    <w:rsid w:val="00443F4E"/>
    <w:rsid w:val="00445050"/>
    <w:rsid w:val="004459BB"/>
    <w:rsid w:val="00445A9D"/>
    <w:rsid w:val="00446208"/>
    <w:rsid w:val="004462C9"/>
    <w:rsid w:val="004466C7"/>
    <w:rsid w:val="00446764"/>
    <w:rsid w:val="00446B14"/>
    <w:rsid w:val="00447699"/>
    <w:rsid w:val="004478AF"/>
    <w:rsid w:val="00447E6F"/>
    <w:rsid w:val="00447EF9"/>
    <w:rsid w:val="0045000E"/>
    <w:rsid w:val="00450DA6"/>
    <w:rsid w:val="00451714"/>
    <w:rsid w:val="00451A47"/>
    <w:rsid w:val="00451AA7"/>
    <w:rsid w:val="00451E5E"/>
    <w:rsid w:val="00452A24"/>
    <w:rsid w:val="00452A5B"/>
    <w:rsid w:val="00453B84"/>
    <w:rsid w:val="00453C58"/>
    <w:rsid w:val="00453D18"/>
    <w:rsid w:val="00453F06"/>
    <w:rsid w:val="0045412C"/>
    <w:rsid w:val="00454A13"/>
    <w:rsid w:val="00454A14"/>
    <w:rsid w:val="00454D64"/>
    <w:rsid w:val="00454FD4"/>
    <w:rsid w:val="004556E0"/>
    <w:rsid w:val="00456670"/>
    <w:rsid w:val="004567ED"/>
    <w:rsid w:val="004576E2"/>
    <w:rsid w:val="00457731"/>
    <w:rsid w:val="00457BDF"/>
    <w:rsid w:val="00457C75"/>
    <w:rsid w:val="0046060C"/>
    <w:rsid w:val="004607CF"/>
    <w:rsid w:val="00460CDA"/>
    <w:rsid w:val="00461501"/>
    <w:rsid w:val="00461C09"/>
    <w:rsid w:val="00461F90"/>
    <w:rsid w:val="0046202E"/>
    <w:rsid w:val="0046242E"/>
    <w:rsid w:val="00462914"/>
    <w:rsid w:val="00462AAD"/>
    <w:rsid w:val="00463660"/>
    <w:rsid w:val="00463797"/>
    <w:rsid w:val="00465230"/>
    <w:rsid w:val="004654D5"/>
    <w:rsid w:val="0046552E"/>
    <w:rsid w:val="00465766"/>
    <w:rsid w:val="004659E6"/>
    <w:rsid w:val="00465EDB"/>
    <w:rsid w:val="00466625"/>
    <w:rsid w:val="004669BA"/>
    <w:rsid w:val="00466B4E"/>
    <w:rsid w:val="00466D97"/>
    <w:rsid w:val="00466FC7"/>
    <w:rsid w:val="004677E5"/>
    <w:rsid w:val="00467ACB"/>
    <w:rsid w:val="00467C1B"/>
    <w:rsid w:val="00467E96"/>
    <w:rsid w:val="00470589"/>
    <w:rsid w:val="00470852"/>
    <w:rsid w:val="00470BA4"/>
    <w:rsid w:val="00470DFA"/>
    <w:rsid w:val="004710B0"/>
    <w:rsid w:val="004714E9"/>
    <w:rsid w:val="00471F66"/>
    <w:rsid w:val="00472450"/>
    <w:rsid w:val="00472556"/>
    <w:rsid w:val="0047283D"/>
    <w:rsid w:val="0047353B"/>
    <w:rsid w:val="00473BA4"/>
    <w:rsid w:val="00473D2C"/>
    <w:rsid w:val="00474F50"/>
    <w:rsid w:val="004752E4"/>
    <w:rsid w:val="004754AA"/>
    <w:rsid w:val="0047559F"/>
    <w:rsid w:val="00475CCC"/>
    <w:rsid w:val="00475EF5"/>
    <w:rsid w:val="004760C5"/>
    <w:rsid w:val="0047767B"/>
    <w:rsid w:val="00477C38"/>
    <w:rsid w:val="00477CA8"/>
    <w:rsid w:val="004800CC"/>
    <w:rsid w:val="0048022D"/>
    <w:rsid w:val="00480AC4"/>
    <w:rsid w:val="00480C1E"/>
    <w:rsid w:val="00480E79"/>
    <w:rsid w:val="0048194D"/>
    <w:rsid w:val="004825B9"/>
    <w:rsid w:val="00482A3F"/>
    <w:rsid w:val="00482B0E"/>
    <w:rsid w:val="00482BFB"/>
    <w:rsid w:val="00484575"/>
    <w:rsid w:val="00484766"/>
    <w:rsid w:val="004848C0"/>
    <w:rsid w:val="00485F73"/>
    <w:rsid w:val="00486638"/>
    <w:rsid w:val="0048689D"/>
    <w:rsid w:val="00486B30"/>
    <w:rsid w:val="004870B4"/>
    <w:rsid w:val="004873CC"/>
    <w:rsid w:val="004877C8"/>
    <w:rsid w:val="00487E16"/>
    <w:rsid w:val="00490110"/>
    <w:rsid w:val="00490158"/>
    <w:rsid w:val="00490CB3"/>
    <w:rsid w:val="00491377"/>
    <w:rsid w:val="00493115"/>
    <w:rsid w:val="004931BC"/>
    <w:rsid w:val="00493542"/>
    <w:rsid w:val="00493C2F"/>
    <w:rsid w:val="00494564"/>
    <w:rsid w:val="004949F1"/>
    <w:rsid w:val="004949FD"/>
    <w:rsid w:val="00494D4F"/>
    <w:rsid w:val="00495903"/>
    <w:rsid w:val="00495F5D"/>
    <w:rsid w:val="0049612D"/>
    <w:rsid w:val="00496FEA"/>
    <w:rsid w:val="004970A5"/>
    <w:rsid w:val="004A0178"/>
    <w:rsid w:val="004A04A4"/>
    <w:rsid w:val="004A06BB"/>
    <w:rsid w:val="004A06BD"/>
    <w:rsid w:val="004A0881"/>
    <w:rsid w:val="004A0BC8"/>
    <w:rsid w:val="004A0CF0"/>
    <w:rsid w:val="004A0EBE"/>
    <w:rsid w:val="004A10A3"/>
    <w:rsid w:val="004A1247"/>
    <w:rsid w:val="004A146B"/>
    <w:rsid w:val="004A1872"/>
    <w:rsid w:val="004A1AAA"/>
    <w:rsid w:val="004A1F77"/>
    <w:rsid w:val="004A2611"/>
    <w:rsid w:val="004A2AC4"/>
    <w:rsid w:val="004A2B40"/>
    <w:rsid w:val="004A2C28"/>
    <w:rsid w:val="004A3106"/>
    <w:rsid w:val="004A32A4"/>
    <w:rsid w:val="004A3AF1"/>
    <w:rsid w:val="004A3B1E"/>
    <w:rsid w:val="004A3D9A"/>
    <w:rsid w:val="004A4268"/>
    <w:rsid w:val="004A4350"/>
    <w:rsid w:val="004A45D0"/>
    <w:rsid w:val="004A4746"/>
    <w:rsid w:val="004A4A51"/>
    <w:rsid w:val="004A4C05"/>
    <w:rsid w:val="004A5186"/>
    <w:rsid w:val="004A5C54"/>
    <w:rsid w:val="004A6180"/>
    <w:rsid w:val="004A6B30"/>
    <w:rsid w:val="004A74CF"/>
    <w:rsid w:val="004A75A5"/>
    <w:rsid w:val="004B071E"/>
    <w:rsid w:val="004B0973"/>
    <w:rsid w:val="004B0B88"/>
    <w:rsid w:val="004B0E56"/>
    <w:rsid w:val="004B11AF"/>
    <w:rsid w:val="004B129A"/>
    <w:rsid w:val="004B171F"/>
    <w:rsid w:val="004B2A5A"/>
    <w:rsid w:val="004B30B7"/>
    <w:rsid w:val="004B314A"/>
    <w:rsid w:val="004B50F0"/>
    <w:rsid w:val="004B5556"/>
    <w:rsid w:val="004B5952"/>
    <w:rsid w:val="004B6382"/>
    <w:rsid w:val="004B6537"/>
    <w:rsid w:val="004B673D"/>
    <w:rsid w:val="004B6B1A"/>
    <w:rsid w:val="004B6C94"/>
    <w:rsid w:val="004B6DAF"/>
    <w:rsid w:val="004B71CF"/>
    <w:rsid w:val="004B73EB"/>
    <w:rsid w:val="004B779F"/>
    <w:rsid w:val="004B7AD6"/>
    <w:rsid w:val="004B7B47"/>
    <w:rsid w:val="004B7F43"/>
    <w:rsid w:val="004C07AB"/>
    <w:rsid w:val="004C0B49"/>
    <w:rsid w:val="004C0DEE"/>
    <w:rsid w:val="004C11BD"/>
    <w:rsid w:val="004C1B7D"/>
    <w:rsid w:val="004C2E49"/>
    <w:rsid w:val="004C37B9"/>
    <w:rsid w:val="004C453E"/>
    <w:rsid w:val="004C45C3"/>
    <w:rsid w:val="004C503D"/>
    <w:rsid w:val="004C5A63"/>
    <w:rsid w:val="004C5CBD"/>
    <w:rsid w:val="004C6191"/>
    <w:rsid w:val="004C6D99"/>
    <w:rsid w:val="004C7329"/>
    <w:rsid w:val="004C7669"/>
    <w:rsid w:val="004D01FE"/>
    <w:rsid w:val="004D06D9"/>
    <w:rsid w:val="004D0830"/>
    <w:rsid w:val="004D0C4E"/>
    <w:rsid w:val="004D0DE0"/>
    <w:rsid w:val="004D1736"/>
    <w:rsid w:val="004D1A90"/>
    <w:rsid w:val="004D1E3E"/>
    <w:rsid w:val="004D2234"/>
    <w:rsid w:val="004D236E"/>
    <w:rsid w:val="004D2461"/>
    <w:rsid w:val="004D25EB"/>
    <w:rsid w:val="004D2EC5"/>
    <w:rsid w:val="004D306E"/>
    <w:rsid w:val="004D361B"/>
    <w:rsid w:val="004D36E2"/>
    <w:rsid w:val="004D402B"/>
    <w:rsid w:val="004D42BA"/>
    <w:rsid w:val="004D43EB"/>
    <w:rsid w:val="004D48AE"/>
    <w:rsid w:val="004D4F85"/>
    <w:rsid w:val="004D54F0"/>
    <w:rsid w:val="004D5860"/>
    <w:rsid w:val="004D5B60"/>
    <w:rsid w:val="004D5B7C"/>
    <w:rsid w:val="004D5E26"/>
    <w:rsid w:val="004D64AF"/>
    <w:rsid w:val="004D6756"/>
    <w:rsid w:val="004D7951"/>
    <w:rsid w:val="004E05DB"/>
    <w:rsid w:val="004E06B9"/>
    <w:rsid w:val="004E0904"/>
    <w:rsid w:val="004E118E"/>
    <w:rsid w:val="004E176A"/>
    <w:rsid w:val="004E18BC"/>
    <w:rsid w:val="004E1B61"/>
    <w:rsid w:val="004E2D9B"/>
    <w:rsid w:val="004E324E"/>
    <w:rsid w:val="004E3B73"/>
    <w:rsid w:val="004E3ED6"/>
    <w:rsid w:val="004E3F32"/>
    <w:rsid w:val="004E4601"/>
    <w:rsid w:val="004E4A9D"/>
    <w:rsid w:val="004E4C8A"/>
    <w:rsid w:val="004E5DBA"/>
    <w:rsid w:val="004E605D"/>
    <w:rsid w:val="004E62CC"/>
    <w:rsid w:val="004E6569"/>
    <w:rsid w:val="004E6F9B"/>
    <w:rsid w:val="004E7147"/>
    <w:rsid w:val="004E7325"/>
    <w:rsid w:val="004E7749"/>
    <w:rsid w:val="004F10C6"/>
    <w:rsid w:val="004F25CF"/>
    <w:rsid w:val="004F27E7"/>
    <w:rsid w:val="004F29E8"/>
    <w:rsid w:val="004F2D63"/>
    <w:rsid w:val="004F30FC"/>
    <w:rsid w:val="004F344F"/>
    <w:rsid w:val="004F376E"/>
    <w:rsid w:val="004F3860"/>
    <w:rsid w:val="004F3F9F"/>
    <w:rsid w:val="004F4DE3"/>
    <w:rsid w:val="004F5140"/>
    <w:rsid w:val="004F5469"/>
    <w:rsid w:val="004F6A14"/>
    <w:rsid w:val="004F6F61"/>
    <w:rsid w:val="004F76A6"/>
    <w:rsid w:val="004F7D71"/>
    <w:rsid w:val="004F7DA4"/>
    <w:rsid w:val="004F7DA9"/>
    <w:rsid w:val="004F7DC1"/>
    <w:rsid w:val="00500C8D"/>
    <w:rsid w:val="0050177B"/>
    <w:rsid w:val="00501A26"/>
    <w:rsid w:val="005022A5"/>
    <w:rsid w:val="005028B0"/>
    <w:rsid w:val="0050305C"/>
    <w:rsid w:val="005035C9"/>
    <w:rsid w:val="005039C8"/>
    <w:rsid w:val="00504CFC"/>
    <w:rsid w:val="005053B4"/>
    <w:rsid w:val="00505E28"/>
    <w:rsid w:val="005060A0"/>
    <w:rsid w:val="005063AF"/>
    <w:rsid w:val="00506B79"/>
    <w:rsid w:val="00506C28"/>
    <w:rsid w:val="00506E1E"/>
    <w:rsid w:val="0050719E"/>
    <w:rsid w:val="005077BD"/>
    <w:rsid w:val="005109F2"/>
    <w:rsid w:val="005110D8"/>
    <w:rsid w:val="00511B01"/>
    <w:rsid w:val="005121A8"/>
    <w:rsid w:val="005127EF"/>
    <w:rsid w:val="005128E7"/>
    <w:rsid w:val="00512BF6"/>
    <w:rsid w:val="00512E12"/>
    <w:rsid w:val="00512E23"/>
    <w:rsid w:val="005130F2"/>
    <w:rsid w:val="0051399B"/>
    <w:rsid w:val="00513F41"/>
    <w:rsid w:val="00514249"/>
    <w:rsid w:val="00514741"/>
    <w:rsid w:val="005148B7"/>
    <w:rsid w:val="00515455"/>
    <w:rsid w:val="00515500"/>
    <w:rsid w:val="00515618"/>
    <w:rsid w:val="005157AB"/>
    <w:rsid w:val="005159FC"/>
    <w:rsid w:val="00515D20"/>
    <w:rsid w:val="005162B8"/>
    <w:rsid w:val="005169B7"/>
    <w:rsid w:val="00516C88"/>
    <w:rsid w:val="00516E51"/>
    <w:rsid w:val="00516EC5"/>
    <w:rsid w:val="00517427"/>
    <w:rsid w:val="0051778C"/>
    <w:rsid w:val="00517863"/>
    <w:rsid w:val="00517F39"/>
    <w:rsid w:val="0052067F"/>
    <w:rsid w:val="00520BAB"/>
    <w:rsid w:val="00520CCF"/>
    <w:rsid w:val="00521339"/>
    <w:rsid w:val="005217C5"/>
    <w:rsid w:val="00521D96"/>
    <w:rsid w:val="00522B1D"/>
    <w:rsid w:val="005233C9"/>
    <w:rsid w:val="0052383B"/>
    <w:rsid w:val="0052383E"/>
    <w:rsid w:val="0052388A"/>
    <w:rsid w:val="0052512A"/>
    <w:rsid w:val="005252AC"/>
    <w:rsid w:val="0052549C"/>
    <w:rsid w:val="00525CA7"/>
    <w:rsid w:val="005260A7"/>
    <w:rsid w:val="00526300"/>
    <w:rsid w:val="00526398"/>
    <w:rsid w:val="00527063"/>
    <w:rsid w:val="005270AD"/>
    <w:rsid w:val="00527193"/>
    <w:rsid w:val="00527970"/>
    <w:rsid w:val="005279EC"/>
    <w:rsid w:val="00527C83"/>
    <w:rsid w:val="00527E71"/>
    <w:rsid w:val="00527F0F"/>
    <w:rsid w:val="00530C77"/>
    <w:rsid w:val="00530DDE"/>
    <w:rsid w:val="00530E20"/>
    <w:rsid w:val="005310EC"/>
    <w:rsid w:val="00531F0C"/>
    <w:rsid w:val="00532618"/>
    <w:rsid w:val="00532B0A"/>
    <w:rsid w:val="0053343B"/>
    <w:rsid w:val="00533905"/>
    <w:rsid w:val="00533ADC"/>
    <w:rsid w:val="00533BBA"/>
    <w:rsid w:val="00533EF3"/>
    <w:rsid w:val="00533FAD"/>
    <w:rsid w:val="005340DC"/>
    <w:rsid w:val="00535046"/>
    <w:rsid w:val="00535F4A"/>
    <w:rsid w:val="00536436"/>
    <w:rsid w:val="005364FF"/>
    <w:rsid w:val="00536704"/>
    <w:rsid w:val="00536FFA"/>
    <w:rsid w:val="00537B8A"/>
    <w:rsid w:val="005406F6"/>
    <w:rsid w:val="005409E2"/>
    <w:rsid w:val="00540F1C"/>
    <w:rsid w:val="00541636"/>
    <w:rsid w:val="00541C60"/>
    <w:rsid w:val="00541F48"/>
    <w:rsid w:val="0054258C"/>
    <w:rsid w:val="00542A05"/>
    <w:rsid w:val="00542EB0"/>
    <w:rsid w:val="0054327A"/>
    <w:rsid w:val="00543B55"/>
    <w:rsid w:val="00543C41"/>
    <w:rsid w:val="00543D89"/>
    <w:rsid w:val="00543FD8"/>
    <w:rsid w:val="0054419A"/>
    <w:rsid w:val="00544402"/>
    <w:rsid w:val="00544574"/>
    <w:rsid w:val="005445C0"/>
    <w:rsid w:val="00544CC3"/>
    <w:rsid w:val="00544D9E"/>
    <w:rsid w:val="005457EC"/>
    <w:rsid w:val="00545854"/>
    <w:rsid w:val="0054592B"/>
    <w:rsid w:val="005463C7"/>
    <w:rsid w:val="00546991"/>
    <w:rsid w:val="00546D70"/>
    <w:rsid w:val="00546F6A"/>
    <w:rsid w:val="00547011"/>
    <w:rsid w:val="00547776"/>
    <w:rsid w:val="00547AEE"/>
    <w:rsid w:val="00547BE8"/>
    <w:rsid w:val="00550259"/>
    <w:rsid w:val="005502C6"/>
    <w:rsid w:val="00550473"/>
    <w:rsid w:val="00550815"/>
    <w:rsid w:val="00550E94"/>
    <w:rsid w:val="00551532"/>
    <w:rsid w:val="00551804"/>
    <w:rsid w:val="00552349"/>
    <w:rsid w:val="0055329E"/>
    <w:rsid w:val="00553407"/>
    <w:rsid w:val="005549B2"/>
    <w:rsid w:val="00554A64"/>
    <w:rsid w:val="00555E3C"/>
    <w:rsid w:val="0055646F"/>
    <w:rsid w:val="00556575"/>
    <w:rsid w:val="005567C2"/>
    <w:rsid w:val="00556E56"/>
    <w:rsid w:val="00556EFE"/>
    <w:rsid w:val="005574B7"/>
    <w:rsid w:val="00557809"/>
    <w:rsid w:val="00557B0B"/>
    <w:rsid w:val="0056038E"/>
    <w:rsid w:val="0056114A"/>
    <w:rsid w:val="0056180E"/>
    <w:rsid w:val="0056241C"/>
    <w:rsid w:val="00562612"/>
    <w:rsid w:val="00562710"/>
    <w:rsid w:val="00562F8B"/>
    <w:rsid w:val="00563721"/>
    <w:rsid w:val="005639ED"/>
    <w:rsid w:val="00563A47"/>
    <w:rsid w:val="0056421B"/>
    <w:rsid w:val="0056475D"/>
    <w:rsid w:val="00565383"/>
    <w:rsid w:val="00566B98"/>
    <w:rsid w:val="00567B5B"/>
    <w:rsid w:val="00567FA4"/>
    <w:rsid w:val="00570499"/>
    <w:rsid w:val="005708A6"/>
    <w:rsid w:val="00570AAD"/>
    <w:rsid w:val="0057148A"/>
    <w:rsid w:val="00571991"/>
    <w:rsid w:val="00572490"/>
    <w:rsid w:val="005728A7"/>
    <w:rsid w:val="00573268"/>
    <w:rsid w:val="005732FC"/>
    <w:rsid w:val="00573A9E"/>
    <w:rsid w:val="0057445D"/>
    <w:rsid w:val="00574486"/>
    <w:rsid w:val="005747DC"/>
    <w:rsid w:val="005749F4"/>
    <w:rsid w:val="00575926"/>
    <w:rsid w:val="00576128"/>
    <w:rsid w:val="005761BA"/>
    <w:rsid w:val="005763B5"/>
    <w:rsid w:val="00576BCA"/>
    <w:rsid w:val="00576DAA"/>
    <w:rsid w:val="005772BF"/>
    <w:rsid w:val="00580AD6"/>
    <w:rsid w:val="00580E8B"/>
    <w:rsid w:val="00581568"/>
    <w:rsid w:val="00581923"/>
    <w:rsid w:val="00581927"/>
    <w:rsid w:val="00581DA1"/>
    <w:rsid w:val="00581F60"/>
    <w:rsid w:val="005820A0"/>
    <w:rsid w:val="00582462"/>
    <w:rsid w:val="0058248F"/>
    <w:rsid w:val="005829EC"/>
    <w:rsid w:val="00582B6D"/>
    <w:rsid w:val="005835FC"/>
    <w:rsid w:val="005836B6"/>
    <w:rsid w:val="00583E1C"/>
    <w:rsid w:val="00584739"/>
    <w:rsid w:val="00584A78"/>
    <w:rsid w:val="00584EBE"/>
    <w:rsid w:val="005856AE"/>
    <w:rsid w:val="00585B24"/>
    <w:rsid w:val="0058685A"/>
    <w:rsid w:val="00586EC8"/>
    <w:rsid w:val="00587074"/>
    <w:rsid w:val="00587C5E"/>
    <w:rsid w:val="00587C9D"/>
    <w:rsid w:val="00587E33"/>
    <w:rsid w:val="005906BC"/>
    <w:rsid w:val="00590B47"/>
    <w:rsid w:val="00590C96"/>
    <w:rsid w:val="0059112A"/>
    <w:rsid w:val="0059151E"/>
    <w:rsid w:val="00591D6A"/>
    <w:rsid w:val="005920D4"/>
    <w:rsid w:val="0059235D"/>
    <w:rsid w:val="005928EB"/>
    <w:rsid w:val="00592B9C"/>
    <w:rsid w:val="0059356D"/>
    <w:rsid w:val="00593819"/>
    <w:rsid w:val="00593FAB"/>
    <w:rsid w:val="00593FEA"/>
    <w:rsid w:val="005945E8"/>
    <w:rsid w:val="0059466E"/>
    <w:rsid w:val="00594D1C"/>
    <w:rsid w:val="00595ECE"/>
    <w:rsid w:val="0059601A"/>
    <w:rsid w:val="00596A91"/>
    <w:rsid w:val="005976AE"/>
    <w:rsid w:val="00597D51"/>
    <w:rsid w:val="005A0817"/>
    <w:rsid w:val="005A091F"/>
    <w:rsid w:val="005A10EE"/>
    <w:rsid w:val="005A15EE"/>
    <w:rsid w:val="005A1CD6"/>
    <w:rsid w:val="005A1DA4"/>
    <w:rsid w:val="005A2536"/>
    <w:rsid w:val="005A2A76"/>
    <w:rsid w:val="005A2F9B"/>
    <w:rsid w:val="005A301F"/>
    <w:rsid w:val="005A4044"/>
    <w:rsid w:val="005A46E2"/>
    <w:rsid w:val="005A4A64"/>
    <w:rsid w:val="005A4E57"/>
    <w:rsid w:val="005A5368"/>
    <w:rsid w:val="005A5998"/>
    <w:rsid w:val="005A59C1"/>
    <w:rsid w:val="005A5B38"/>
    <w:rsid w:val="005A5E57"/>
    <w:rsid w:val="005A6FD4"/>
    <w:rsid w:val="005A75F2"/>
    <w:rsid w:val="005B0839"/>
    <w:rsid w:val="005B113A"/>
    <w:rsid w:val="005B14D9"/>
    <w:rsid w:val="005B16F7"/>
    <w:rsid w:val="005B1E4E"/>
    <w:rsid w:val="005B1E56"/>
    <w:rsid w:val="005B2443"/>
    <w:rsid w:val="005B25AF"/>
    <w:rsid w:val="005B2C5A"/>
    <w:rsid w:val="005B3262"/>
    <w:rsid w:val="005B326E"/>
    <w:rsid w:val="005B34CF"/>
    <w:rsid w:val="005B3BF7"/>
    <w:rsid w:val="005B3C81"/>
    <w:rsid w:val="005B3EE7"/>
    <w:rsid w:val="005B404F"/>
    <w:rsid w:val="005B4299"/>
    <w:rsid w:val="005B4840"/>
    <w:rsid w:val="005B4980"/>
    <w:rsid w:val="005B49EF"/>
    <w:rsid w:val="005B4B13"/>
    <w:rsid w:val="005B6939"/>
    <w:rsid w:val="005B6F3F"/>
    <w:rsid w:val="005B75D1"/>
    <w:rsid w:val="005B793B"/>
    <w:rsid w:val="005C0A42"/>
    <w:rsid w:val="005C0B96"/>
    <w:rsid w:val="005C12C5"/>
    <w:rsid w:val="005C12CB"/>
    <w:rsid w:val="005C1395"/>
    <w:rsid w:val="005C141A"/>
    <w:rsid w:val="005C2082"/>
    <w:rsid w:val="005C285E"/>
    <w:rsid w:val="005C2A6E"/>
    <w:rsid w:val="005C300B"/>
    <w:rsid w:val="005C318B"/>
    <w:rsid w:val="005C390B"/>
    <w:rsid w:val="005C3C6C"/>
    <w:rsid w:val="005C400B"/>
    <w:rsid w:val="005C415C"/>
    <w:rsid w:val="005C461C"/>
    <w:rsid w:val="005C48D1"/>
    <w:rsid w:val="005C5450"/>
    <w:rsid w:val="005C639E"/>
    <w:rsid w:val="005C6709"/>
    <w:rsid w:val="005C6B6C"/>
    <w:rsid w:val="005C75AA"/>
    <w:rsid w:val="005C7792"/>
    <w:rsid w:val="005C7D32"/>
    <w:rsid w:val="005D0271"/>
    <w:rsid w:val="005D0873"/>
    <w:rsid w:val="005D0C75"/>
    <w:rsid w:val="005D0E99"/>
    <w:rsid w:val="005D11F9"/>
    <w:rsid w:val="005D149C"/>
    <w:rsid w:val="005D17CC"/>
    <w:rsid w:val="005D1AB5"/>
    <w:rsid w:val="005D1D6F"/>
    <w:rsid w:val="005D2434"/>
    <w:rsid w:val="005D29AC"/>
    <w:rsid w:val="005D2E4C"/>
    <w:rsid w:val="005D2F16"/>
    <w:rsid w:val="005D3398"/>
    <w:rsid w:val="005D39ED"/>
    <w:rsid w:val="005D3B5E"/>
    <w:rsid w:val="005D3C20"/>
    <w:rsid w:val="005D3DDA"/>
    <w:rsid w:val="005D46DE"/>
    <w:rsid w:val="005D5BD4"/>
    <w:rsid w:val="005D5C11"/>
    <w:rsid w:val="005D60A2"/>
    <w:rsid w:val="005D67DB"/>
    <w:rsid w:val="005D6FC8"/>
    <w:rsid w:val="005E01C0"/>
    <w:rsid w:val="005E0510"/>
    <w:rsid w:val="005E054F"/>
    <w:rsid w:val="005E0799"/>
    <w:rsid w:val="005E0C3B"/>
    <w:rsid w:val="005E1464"/>
    <w:rsid w:val="005E1F3A"/>
    <w:rsid w:val="005E2941"/>
    <w:rsid w:val="005E32F3"/>
    <w:rsid w:val="005E35B5"/>
    <w:rsid w:val="005E4141"/>
    <w:rsid w:val="005E43CD"/>
    <w:rsid w:val="005E4C5D"/>
    <w:rsid w:val="005E5363"/>
    <w:rsid w:val="005E5496"/>
    <w:rsid w:val="005E6248"/>
    <w:rsid w:val="005E68DC"/>
    <w:rsid w:val="005E7290"/>
    <w:rsid w:val="005E7A80"/>
    <w:rsid w:val="005E7CD5"/>
    <w:rsid w:val="005F0237"/>
    <w:rsid w:val="005F03AE"/>
    <w:rsid w:val="005F05A3"/>
    <w:rsid w:val="005F137B"/>
    <w:rsid w:val="005F20AB"/>
    <w:rsid w:val="005F2563"/>
    <w:rsid w:val="005F2D77"/>
    <w:rsid w:val="005F2DB2"/>
    <w:rsid w:val="005F312B"/>
    <w:rsid w:val="005F318C"/>
    <w:rsid w:val="005F3D02"/>
    <w:rsid w:val="005F412F"/>
    <w:rsid w:val="005F4158"/>
    <w:rsid w:val="005F41C8"/>
    <w:rsid w:val="005F45B2"/>
    <w:rsid w:val="005F475E"/>
    <w:rsid w:val="005F4A6E"/>
    <w:rsid w:val="005F585D"/>
    <w:rsid w:val="005F614C"/>
    <w:rsid w:val="005F65C5"/>
    <w:rsid w:val="005F68EF"/>
    <w:rsid w:val="005F7885"/>
    <w:rsid w:val="005F7BF5"/>
    <w:rsid w:val="0060037A"/>
    <w:rsid w:val="00600C05"/>
    <w:rsid w:val="00600F70"/>
    <w:rsid w:val="006015AD"/>
    <w:rsid w:val="0060222D"/>
    <w:rsid w:val="006024CF"/>
    <w:rsid w:val="00602AEE"/>
    <w:rsid w:val="00602CC1"/>
    <w:rsid w:val="00603219"/>
    <w:rsid w:val="00603624"/>
    <w:rsid w:val="00604574"/>
    <w:rsid w:val="00604CE0"/>
    <w:rsid w:val="00605366"/>
    <w:rsid w:val="006055FA"/>
    <w:rsid w:val="00605ACF"/>
    <w:rsid w:val="006073AD"/>
    <w:rsid w:val="0060747D"/>
    <w:rsid w:val="00607596"/>
    <w:rsid w:val="00607BCC"/>
    <w:rsid w:val="00607F95"/>
    <w:rsid w:val="00610C32"/>
    <w:rsid w:val="00611178"/>
    <w:rsid w:val="0061186C"/>
    <w:rsid w:val="00611A2A"/>
    <w:rsid w:val="00611D20"/>
    <w:rsid w:val="00611E42"/>
    <w:rsid w:val="00611EE6"/>
    <w:rsid w:val="00611FB0"/>
    <w:rsid w:val="0061233F"/>
    <w:rsid w:val="006132B7"/>
    <w:rsid w:val="00613F1A"/>
    <w:rsid w:val="00614A48"/>
    <w:rsid w:val="00614AC7"/>
    <w:rsid w:val="00614D42"/>
    <w:rsid w:val="00614D4F"/>
    <w:rsid w:val="006156E1"/>
    <w:rsid w:val="00615E8F"/>
    <w:rsid w:val="00615FC6"/>
    <w:rsid w:val="00616337"/>
    <w:rsid w:val="00616643"/>
    <w:rsid w:val="00616A68"/>
    <w:rsid w:val="00616B65"/>
    <w:rsid w:val="00617348"/>
    <w:rsid w:val="006205EE"/>
    <w:rsid w:val="006206A1"/>
    <w:rsid w:val="006208FB"/>
    <w:rsid w:val="00620AF6"/>
    <w:rsid w:val="00621246"/>
    <w:rsid w:val="006215CF"/>
    <w:rsid w:val="006218E6"/>
    <w:rsid w:val="00621CCF"/>
    <w:rsid w:val="006220CD"/>
    <w:rsid w:val="0062239B"/>
    <w:rsid w:val="0062243D"/>
    <w:rsid w:val="006228D0"/>
    <w:rsid w:val="00622B83"/>
    <w:rsid w:val="00625019"/>
    <w:rsid w:val="006250C0"/>
    <w:rsid w:val="006253D9"/>
    <w:rsid w:val="00625590"/>
    <w:rsid w:val="00625834"/>
    <w:rsid w:val="0062597B"/>
    <w:rsid w:val="00625A8C"/>
    <w:rsid w:val="00625DB8"/>
    <w:rsid w:val="00625F6C"/>
    <w:rsid w:val="006261EF"/>
    <w:rsid w:val="0062649D"/>
    <w:rsid w:val="00626579"/>
    <w:rsid w:val="00626C97"/>
    <w:rsid w:val="0062719D"/>
    <w:rsid w:val="006274F5"/>
    <w:rsid w:val="006308FD"/>
    <w:rsid w:val="00631402"/>
    <w:rsid w:val="0063152D"/>
    <w:rsid w:val="00631A2E"/>
    <w:rsid w:val="006322C6"/>
    <w:rsid w:val="00632DFF"/>
    <w:rsid w:val="00632FEB"/>
    <w:rsid w:val="006336E3"/>
    <w:rsid w:val="00633D18"/>
    <w:rsid w:val="00634262"/>
    <w:rsid w:val="006345FA"/>
    <w:rsid w:val="0063503A"/>
    <w:rsid w:val="00635246"/>
    <w:rsid w:val="00635B7D"/>
    <w:rsid w:val="00636339"/>
    <w:rsid w:val="006363DB"/>
    <w:rsid w:val="00636C2B"/>
    <w:rsid w:val="006374E1"/>
    <w:rsid w:val="00637E00"/>
    <w:rsid w:val="00637F77"/>
    <w:rsid w:val="00640F5C"/>
    <w:rsid w:val="006410BC"/>
    <w:rsid w:val="006415E6"/>
    <w:rsid w:val="006418CD"/>
    <w:rsid w:val="006426E2"/>
    <w:rsid w:val="00642A25"/>
    <w:rsid w:val="00642BB9"/>
    <w:rsid w:val="006430E1"/>
    <w:rsid w:val="00643234"/>
    <w:rsid w:val="00643998"/>
    <w:rsid w:val="00643B8D"/>
    <w:rsid w:val="006443C2"/>
    <w:rsid w:val="00644D52"/>
    <w:rsid w:val="00645100"/>
    <w:rsid w:val="006453E6"/>
    <w:rsid w:val="00645962"/>
    <w:rsid w:val="006463F8"/>
    <w:rsid w:val="00646436"/>
    <w:rsid w:val="00646705"/>
    <w:rsid w:val="0064686C"/>
    <w:rsid w:val="006468D7"/>
    <w:rsid w:val="00647288"/>
    <w:rsid w:val="006475DA"/>
    <w:rsid w:val="0064784F"/>
    <w:rsid w:val="006479BE"/>
    <w:rsid w:val="00647AF0"/>
    <w:rsid w:val="00650BB3"/>
    <w:rsid w:val="00650FEC"/>
    <w:rsid w:val="00651665"/>
    <w:rsid w:val="00651BA6"/>
    <w:rsid w:val="00652278"/>
    <w:rsid w:val="006528F2"/>
    <w:rsid w:val="00652916"/>
    <w:rsid w:val="00653183"/>
    <w:rsid w:val="00653200"/>
    <w:rsid w:val="0065339A"/>
    <w:rsid w:val="00653E36"/>
    <w:rsid w:val="0065462A"/>
    <w:rsid w:val="006547DA"/>
    <w:rsid w:val="00654B92"/>
    <w:rsid w:val="00654DFB"/>
    <w:rsid w:val="00654FEF"/>
    <w:rsid w:val="00655DBE"/>
    <w:rsid w:val="00655F3B"/>
    <w:rsid w:val="00656320"/>
    <w:rsid w:val="00656429"/>
    <w:rsid w:val="00656470"/>
    <w:rsid w:val="00656BD3"/>
    <w:rsid w:val="00657052"/>
    <w:rsid w:val="006570EF"/>
    <w:rsid w:val="00657159"/>
    <w:rsid w:val="0065794E"/>
    <w:rsid w:val="006579A9"/>
    <w:rsid w:val="00660770"/>
    <w:rsid w:val="00660968"/>
    <w:rsid w:val="00661033"/>
    <w:rsid w:val="006615FA"/>
    <w:rsid w:val="006619D2"/>
    <w:rsid w:val="0066241B"/>
    <w:rsid w:val="00663AEA"/>
    <w:rsid w:val="00664091"/>
    <w:rsid w:val="006649D2"/>
    <w:rsid w:val="00664A95"/>
    <w:rsid w:val="00664BFE"/>
    <w:rsid w:val="00664E38"/>
    <w:rsid w:val="00664E91"/>
    <w:rsid w:val="0066530D"/>
    <w:rsid w:val="006657CB"/>
    <w:rsid w:val="00665B8E"/>
    <w:rsid w:val="00665CF5"/>
    <w:rsid w:val="006669DC"/>
    <w:rsid w:val="00666E9C"/>
    <w:rsid w:val="006673F3"/>
    <w:rsid w:val="00667512"/>
    <w:rsid w:val="00667599"/>
    <w:rsid w:val="006676C9"/>
    <w:rsid w:val="006704E7"/>
    <w:rsid w:val="00670546"/>
    <w:rsid w:val="00670DAF"/>
    <w:rsid w:val="006713B0"/>
    <w:rsid w:val="006714E0"/>
    <w:rsid w:val="0067155D"/>
    <w:rsid w:val="00672297"/>
    <w:rsid w:val="00672E3F"/>
    <w:rsid w:val="00673370"/>
    <w:rsid w:val="006737AA"/>
    <w:rsid w:val="006738CB"/>
    <w:rsid w:val="00674044"/>
    <w:rsid w:val="0067439B"/>
    <w:rsid w:val="00674FFA"/>
    <w:rsid w:val="00675CFF"/>
    <w:rsid w:val="006768C3"/>
    <w:rsid w:val="00676AC2"/>
    <w:rsid w:val="006770DF"/>
    <w:rsid w:val="00677522"/>
    <w:rsid w:val="00681616"/>
    <w:rsid w:val="006817C8"/>
    <w:rsid w:val="0068181A"/>
    <w:rsid w:val="00681EA7"/>
    <w:rsid w:val="00682721"/>
    <w:rsid w:val="006829E8"/>
    <w:rsid w:val="006830D6"/>
    <w:rsid w:val="006835DD"/>
    <w:rsid w:val="00683861"/>
    <w:rsid w:val="00683DB6"/>
    <w:rsid w:val="00684647"/>
    <w:rsid w:val="0068554A"/>
    <w:rsid w:val="00685BD4"/>
    <w:rsid w:val="0068606D"/>
    <w:rsid w:val="0068736C"/>
    <w:rsid w:val="00690C80"/>
    <w:rsid w:val="0069141B"/>
    <w:rsid w:val="0069167D"/>
    <w:rsid w:val="00692F51"/>
    <w:rsid w:val="006931E5"/>
    <w:rsid w:val="00693853"/>
    <w:rsid w:val="00693A55"/>
    <w:rsid w:val="0069478B"/>
    <w:rsid w:val="00694A68"/>
    <w:rsid w:val="0069594D"/>
    <w:rsid w:val="00695AE8"/>
    <w:rsid w:val="00695BFB"/>
    <w:rsid w:val="00695F79"/>
    <w:rsid w:val="0069607B"/>
    <w:rsid w:val="00697A74"/>
    <w:rsid w:val="00697F05"/>
    <w:rsid w:val="006A03A0"/>
    <w:rsid w:val="006A0655"/>
    <w:rsid w:val="006A0769"/>
    <w:rsid w:val="006A0958"/>
    <w:rsid w:val="006A0BC1"/>
    <w:rsid w:val="006A0CAA"/>
    <w:rsid w:val="006A0CF5"/>
    <w:rsid w:val="006A0EB9"/>
    <w:rsid w:val="006A1309"/>
    <w:rsid w:val="006A153B"/>
    <w:rsid w:val="006A1657"/>
    <w:rsid w:val="006A2001"/>
    <w:rsid w:val="006A2015"/>
    <w:rsid w:val="006A2D48"/>
    <w:rsid w:val="006A3663"/>
    <w:rsid w:val="006A36D5"/>
    <w:rsid w:val="006A38B5"/>
    <w:rsid w:val="006A3AB1"/>
    <w:rsid w:val="006A3AFC"/>
    <w:rsid w:val="006A3DB0"/>
    <w:rsid w:val="006A4005"/>
    <w:rsid w:val="006A4380"/>
    <w:rsid w:val="006A57F2"/>
    <w:rsid w:val="006A66D0"/>
    <w:rsid w:val="006A6A6C"/>
    <w:rsid w:val="006A72D6"/>
    <w:rsid w:val="006A73EF"/>
    <w:rsid w:val="006A78A0"/>
    <w:rsid w:val="006A79D9"/>
    <w:rsid w:val="006A7B61"/>
    <w:rsid w:val="006B03F8"/>
    <w:rsid w:val="006B045E"/>
    <w:rsid w:val="006B0509"/>
    <w:rsid w:val="006B0671"/>
    <w:rsid w:val="006B0DB5"/>
    <w:rsid w:val="006B1A08"/>
    <w:rsid w:val="006B1CB3"/>
    <w:rsid w:val="006B1F60"/>
    <w:rsid w:val="006B2895"/>
    <w:rsid w:val="006B305E"/>
    <w:rsid w:val="006B31D9"/>
    <w:rsid w:val="006B31DB"/>
    <w:rsid w:val="006B337D"/>
    <w:rsid w:val="006B422B"/>
    <w:rsid w:val="006B443D"/>
    <w:rsid w:val="006B48EA"/>
    <w:rsid w:val="006B4A01"/>
    <w:rsid w:val="006B50FC"/>
    <w:rsid w:val="006B560B"/>
    <w:rsid w:val="006B59A1"/>
    <w:rsid w:val="006B62F0"/>
    <w:rsid w:val="006B64C3"/>
    <w:rsid w:val="006B6D1D"/>
    <w:rsid w:val="006B6E88"/>
    <w:rsid w:val="006B6EA4"/>
    <w:rsid w:val="006B70E0"/>
    <w:rsid w:val="006B7DF1"/>
    <w:rsid w:val="006B7E0C"/>
    <w:rsid w:val="006B7E6A"/>
    <w:rsid w:val="006C1E11"/>
    <w:rsid w:val="006C2190"/>
    <w:rsid w:val="006C2897"/>
    <w:rsid w:val="006C2CCF"/>
    <w:rsid w:val="006C2F88"/>
    <w:rsid w:val="006C429D"/>
    <w:rsid w:val="006C4661"/>
    <w:rsid w:val="006C4A36"/>
    <w:rsid w:val="006C515C"/>
    <w:rsid w:val="006C520A"/>
    <w:rsid w:val="006C5228"/>
    <w:rsid w:val="006C5246"/>
    <w:rsid w:val="006C5A32"/>
    <w:rsid w:val="006C602E"/>
    <w:rsid w:val="006C62D2"/>
    <w:rsid w:val="006C6DAB"/>
    <w:rsid w:val="006C7099"/>
    <w:rsid w:val="006C7263"/>
    <w:rsid w:val="006C7B74"/>
    <w:rsid w:val="006D061F"/>
    <w:rsid w:val="006D085B"/>
    <w:rsid w:val="006D0A34"/>
    <w:rsid w:val="006D16BA"/>
    <w:rsid w:val="006D21C4"/>
    <w:rsid w:val="006D279C"/>
    <w:rsid w:val="006D2D17"/>
    <w:rsid w:val="006D3123"/>
    <w:rsid w:val="006D31DC"/>
    <w:rsid w:val="006D3764"/>
    <w:rsid w:val="006D3AF3"/>
    <w:rsid w:val="006D4185"/>
    <w:rsid w:val="006D453B"/>
    <w:rsid w:val="006D4D04"/>
    <w:rsid w:val="006D51FA"/>
    <w:rsid w:val="006D5511"/>
    <w:rsid w:val="006D5671"/>
    <w:rsid w:val="006D5D09"/>
    <w:rsid w:val="006D620F"/>
    <w:rsid w:val="006D62CC"/>
    <w:rsid w:val="006D74FC"/>
    <w:rsid w:val="006D7B4B"/>
    <w:rsid w:val="006D7B7B"/>
    <w:rsid w:val="006D7B9F"/>
    <w:rsid w:val="006E0078"/>
    <w:rsid w:val="006E0101"/>
    <w:rsid w:val="006E0990"/>
    <w:rsid w:val="006E0E82"/>
    <w:rsid w:val="006E13CC"/>
    <w:rsid w:val="006E1461"/>
    <w:rsid w:val="006E1786"/>
    <w:rsid w:val="006E1C0D"/>
    <w:rsid w:val="006E22F9"/>
    <w:rsid w:val="006E2407"/>
    <w:rsid w:val="006E2974"/>
    <w:rsid w:val="006E2D08"/>
    <w:rsid w:val="006E349B"/>
    <w:rsid w:val="006E3F6D"/>
    <w:rsid w:val="006E4A7C"/>
    <w:rsid w:val="006E51DF"/>
    <w:rsid w:val="006E5318"/>
    <w:rsid w:val="006E59F8"/>
    <w:rsid w:val="006E63A5"/>
    <w:rsid w:val="006E7F82"/>
    <w:rsid w:val="006F0131"/>
    <w:rsid w:val="006F020B"/>
    <w:rsid w:val="006F0B90"/>
    <w:rsid w:val="006F2397"/>
    <w:rsid w:val="006F2CBC"/>
    <w:rsid w:val="006F35DB"/>
    <w:rsid w:val="006F40A8"/>
    <w:rsid w:val="006F4359"/>
    <w:rsid w:val="006F47B7"/>
    <w:rsid w:val="006F4FCD"/>
    <w:rsid w:val="006F55CE"/>
    <w:rsid w:val="006F5746"/>
    <w:rsid w:val="006F615B"/>
    <w:rsid w:val="006F61D4"/>
    <w:rsid w:val="006F6B2C"/>
    <w:rsid w:val="006F72C1"/>
    <w:rsid w:val="006F7430"/>
    <w:rsid w:val="006F7523"/>
    <w:rsid w:val="006F7B4F"/>
    <w:rsid w:val="007002B7"/>
    <w:rsid w:val="00700358"/>
    <w:rsid w:val="00700A3F"/>
    <w:rsid w:val="00700FC0"/>
    <w:rsid w:val="00701905"/>
    <w:rsid w:val="00701F7D"/>
    <w:rsid w:val="00702789"/>
    <w:rsid w:val="0070299E"/>
    <w:rsid w:val="00703591"/>
    <w:rsid w:val="007036B7"/>
    <w:rsid w:val="007037DB"/>
    <w:rsid w:val="00703851"/>
    <w:rsid w:val="007038A3"/>
    <w:rsid w:val="00704236"/>
    <w:rsid w:val="0070469E"/>
    <w:rsid w:val="00705943"/>
    <w:rsid w:val="00705EE9"/>
    <w:rsid w:val="0070634F"/>
    <w:rsid w:val="00706799"/>
    <w:rsid w:val="00706819"/>
    <w:rsid w:val="00706EA5"/>
    <w:rsid w:val="00706FFB"/>
    <w:rsid w:val="0070704E"/>
    <w:rsid w:val="007075F2"/>
    <w:rsid w:val="0070762F"/>
    <w:rsid w:val="00707B2F"/>
    <w:rsid w:val="00710EAC"/>
    <w:rsid w:val="00711234"/>
    <w:rsid w:val="00711475"/>
    <w:rsid w:val="00711A95"/>
    <w:rsid w:val="00711F71"/>
    <w:rsid w:val="007123B7"/>
    <w:rsid w:val="007123F8"/>
    <w:rsid w:val="00713547"/>
    <w:rsid w:val="00713A3F"/>
    <w:rsid w:val="00714990"/>
    <w:rsid w:val="00714FB8"/>
    <w:rsid w:val="00715233"/>
    <w:rsid w:val="007159E7"/>
    <w:rsid w:val="00716BB5"/>
    <w:rsid w:val="00716D0D"/>
    <w:rsid w:val="00716E80"/>
    <w:rsid w:val="00716F5C"/>
    <w:rsid w:val="00717982"/>
    <w:rsid w:val="00717A3B"/>
    <w:rsid w:val="007204BA"/>
    <w:rsid w:val="00720715"/>
    <w:rsid w:val="007207F2"/>
    <w:rsid w:val="00720D15"/>
    <w:rsid w:val="00720D1B"/>
    <w:rsid w:val="00720FDA"/>
    <w:rsid w:val="00721021"/>
    <w:rsid w:val="00721823"/>
    <w:rsid w:val="007219B6"/>
    <w:rsid w:val="00721BA1"/>
    <w:rsid w:val="007223DD"/>
    <w:rsid w:val="007228E2"/>
    <w:rsid w:val="00722A7C"/>
    <w:rsid w:val="00722FFF"/>
    <w:rsid w:val="007234CA"/>
    <w:rsid w:val="00724150"/>
    <w:rsid w:val="007243AC"/>
    <w:rsid w:val="007246A9"/>
    <w:rsid w:val="00724C12"/>
    <w:rsid w:val="00725445"/>
    <w:rsid w:val="007256D6"/>
    <w:rsid w:val="007259D9"/>
    <w:rsid w:val="00725FA0"/>
    <w:rsid w:val="00726297"/>
    <w:rsid w:val="007278AB"/>
    <w:rsid w:val="00727A00"/>
    <w:rsid w:val="00727A4B"/>
    <w:rsid w:val="0073057F"/>
    <w:rsid w:val="0073073A"/>
    <w:rsid w:val="0073123D"/>
    <w:rsid w:val="007313EB"/>
    <w:rsid w:val="00731563"/>
    <w:rsid w:val="00731629"/>
    <w:rsid w:val="00731B48"/>
    <w:rsid w:val="00731F71"/>
    <w:rsid w:val="007329A8"/>
    <w:rsid w:val="007329DD"/>
    <w:rsid w:val="00732B40"/>
    <w:rsid w:val="00732E97"/>
    <w:rsid w:val="00732F7C"/>
    <w:rsid w:val="0073319C"/>
    <w:rsid w:val="007337DF"/>
    <w:rsid w:val="00733877"/>
    <w:rsid w:val="007338C2"/>
    <w:rsid w:val="007349B5"/>
    <w:rsid w:val="0073574D"/>
    <w:rsid w:val="0073630B"/>
    <w:rsid w:val="007364D8"/>
    <w:rsid w:val="007365D3"/>
    <w:rsid w:val="00736EA9"/>
    <w:rsid w:val="007375DF"/>
    <w:rsid w:val="00740075"/>
    <w:rsid w:val="007400EF"/>
    <w:rsid w:val="00740247"/>
    <w:rsid w:val="00740E47"/>
    <w:rsid w:val="00740F5C"/>
    <w:rsid w:val="0074118E"/>
    <w:rsid w:val="00741297"/>
    <w:rsid w:val="007417CB"/>
    <w:rsid w:val="00741969"/>
    <w:rsid w:val="00741B09"/>
    <w:rsid w:val="00741B94"/>
    <w:rsid w:val="00741E3D"/>
    <w:rsid w:val="0074256B"/>
    <w:rsid w:val="00742824"/>
    <w:rsid w:val="007432BB"/>
    <w:rsid w:val="00743574"/>
    <w:rsid w:val="00744845"/>
    <w:rsid w:val="00745178"/>
    <w:rsid w:val="00746F2E"/>
    <w:rsid w:val="00746FDD"/>
    <w:rsid w:val="007477EA"/>
    <w:rsid w:val="00750295"/>
    <w:rsid w:val="00750B28"/>
    <w:rsid w:val="00750DA8"/>
    <w:rsid w:val="00750EE7"/>
    <w:rsid w:val="0075109C"/>
    <w:rsid w:val="00751E51"/>
    <w:rsid w:val="00752365"/>
    <w:rsid w:val="00752E02"/>
    <w:rsid w:val="007534F9"/>
    <w:rsid w:val="007535C6"/>
    <w:rsid w:val="00753DAE"/>
    <w:rsid w:val="0075402D"/>
    <w:rsid w:val="007541F4"/>
    <w:rsid w:val="007549D3"/>
    <w:rsid w:val="007550A2"/>
    <w:rsid w:val="007550B0"/>
    <w:rsid w:val="007553C2"/>
    <w:rsid w:val="00755766"/>
    <w:rsid w:val="00756269"/>
    <w:rsid w:val="00756578"/>
    <w:rsid w:val="00756873"/>
    <w:rsid w:val="00756F85"/>
    <w:rsid w:val="0075700D"/>
    <w:rsid w:val="007579B4"/>
    <w:rsid w:val="00757CD2"/>
    <w:rsid w:val="00757DF8"/>
    <w:rsid w:val="0076081B"/>
    <w:rsid w:val="007613FE"/>
    <w:rsid w:val="00761506"/>
    <w:rsid w:val="00761727"/>
    <w:rsid w:val="007617EC"/>
    <w:rsid w:val="00761CC5"/>
    <w:rsid w:val="00762587"/>
    <w:rsid w:val="00762758"/>
    <w:rsid w:val="00762797"/>
    <w:rsid w:val="00762AE0"/>
    <w:rsid w:val="00762B70"/>
    <w:rsid w:val="007630CE"/>
    <w:rsid w:val="007633F9"/>
    <w:rsid w:val="00763F3A"/>
    <w:rsid w:val="0076413A"/>
    <w:rsid w:val="007647B3"/>
    <w:rsid w:val="00764912"/>
    <w:rsid w:val="00764FEB"/>
    <w:rsid w:val="007656E6"/>
    <w:rsid w:val="00765A28"/>
    <w:rsid w:val="0076673D"/>
    <w:rsid w:val="007668C7"/>
    <w:rsid w:val="007675F0"/>
    <w:rsid w:val="00767B1F"/>
    <w:rsid w:val="00770A59"/>
    <w:rsid w:val="00770E3A"/>
    <w:rsid w:val="00771A89"/>
    <w:rsid w:val="00771AFF"/>
    <w:rsid w:val="0077209B"/>
    <w:rsid w:val="0077270C"/>
    <w:rsid w:val="00773208"/>
    <w:rsid w:val="00773701"/>
    <w:rsid w:val="0077397A"/>
    <w:rsid w:val="00773B29"/>
    <w:rsid w:val="00773D68"/>
    <w:rsid w:val="0077477C"/>
    <w:rsid w:val="00774FB0"/>
    <w:rsid w:val="0077534E"/>
    <w:rsid w:val="00775AFB"/>
    <w:rsid w:val="00775BF9"/>
    <w:rsid w:val="00775E3B"/>
    <w:rsid w:val="0077633E"/>
    <w:rsid w:val="007764C9"/>
    <w:rsid w:val="007764EE"/>
    <w:rsid w:val="00776862"/>
    <w:rsid w:val="00776FE7"/>
    <w:rsid w:val="00777248"/>
    <w:rsid w:val="00777468"/>
    <w:rsid w:val="00777533"/>
    <w:rsid w:val="00777868"/>
    <w:rsid w:val="00777A37"/>
    <w:rsid w:val="00777AF5"/>
    <w:rsid w:val="00777C90"/>
    <w:rsid w:val="00777D4C"/>
    <w:rsid w:val="00780759"/>
    <w:rsid w:val="00780933"/>
    <w:rsid w:val="00780E9C"/>
    <w:rsid w:val="00780EC0"/>
    <w:rsid w:val="0078107B"/>
    <w:rsid w:val="0078146A"/>
    <w:rsid w:val="007817AC"/>
    <w:rsid w:val="00781F30"/>
    <w:rsid w:val="007824E7"/>
    <w:rsid w:val="00783421"/>
    <w:rsid w:val="0078368F"/>
    <w:rsid w:val="0078440E"/>
    <w:rsid w:val="00784449"/>
    <w:rsid w:val="00784981"/>
    <w:rsid w:val="00785B13"/>
    <w:rsid w:val="00786532"/>
    <w:rsid w:val="007867A7"/>
    <w:rsid w:val="00786B94"/>
    <w:rsid w:val="00787108"/>
    <w:rsid w:val="007877BE"/>
    <w:rsid w:val="007878E9"/>
    <w:rsid w:val="00787C06"/>
    <w:rsid w:val="00790665"/>
    <w:rsid w:val="007908C9"/>
    <w:rsid w:val="00790B73"/>
    <w:rsid w:val="00790F20"/>
    <w:rsid w:val="007912B5"/>
    <w:rsid w:val="0079172C"/>
    <w:rsid w:val="00791C93"/>
    <w:rsid w:val="00791F13"/>
    <w:rsid w:val="0079292A"/>
    <w:rsid w:val="00792B7B"/>
    <w:rsid w:val="00793377"/>
    <w:rsid w:val="00793393"/>
    <w:rsid w:val="007933E3"/>
    <w:rsid w:val="007935D5"/>
    <w:rsid w:val="007937C9"/>
    <w:rsid w:val="0079441A"/>
    <w:rsid w:val="00795650"/>
    <w:rsid w:val="007959BF"/>
    <w:rsid w:val="007960A1"/>
    <w:rsid w:val="00796DC9"/>
    <w:rsid w:val="007A01AA"/>
    <w:rsid w:val="007A03E6"/>
    <w:rsid w:val="007A04A7"/>
    <w:rsid w:val="007A0556"/>
    <w:rsid w:val="007A0D61"/>
    <w:rsid w:val="007A0E2C"/>
    <w:rsid w:val="007A0F36"/>
    <w:rsid w:val="007A12BD"/>
    <w:rsid w:val="007A16F7"/>
    <w:rsid w:val="007A1EAE"/>
    <w:rsid w:val="007A2047"/>
    <w:rsid w:val="007A256C"/>
    <w:rsid w:val="007A260C"/>
    <w:rsid w:val="007A2891"/>
    <w:rsid w:val="007A2C7B"/>
    <w:rsid w:val="007A330B"/>
    <w:rsid w:val="007A3608"/>
    <w:rsid w:val="007A3959"/>
    <w:rsid w:val="007A4761"/>
    <w:rsid w:val="007A4A4D"/>
    <w:rsid w:val="007A4B67"/>
    <w:rsid w:val="007A4FEF"/>
    <w:rsid w:val="007A5332"/>
    <w:rsid w:val="007A5F3E"/>
    <w:rsid w:val="007A6145"/>
    <w:rsid w:val="007A6396"/>
    <w:rsid w:val="007A63BE"/>
    <w:rsid w:val="007A6775"/>
    <w:rsid w:val="007A6950"/>
    <w:rsid w:val="007A6991"/>
    <w:rsid w:val="007A6AF4"/>
    <w:rsid w:val="007A6EF9"/>
    <w:rsid w:val="007A7269"/>
    <w:rsid w:val="007A7560"/>
    <w:rsid w:val="007A75AE"/>
    <w:rsid w:val="007A7909"/>
    <w:rsid w:val="007B0754"/>
    <w:rsid w:val="007B0759"/>
    <w:rsid w:val="007B0DAB"/>
    <w:rsid w:val="007B0F44"/>
    <w:rsid w:val="007B10ED"/>
    <w:rsid w:val="007B1E7A"/>
    <w:rsid w:val="007B2E30"/>
    <w:rsid w:val="007B38F9"/>
    <w:rsid w:val="007B4548"/>
    <w:rsid w:val="007B45BB"/>
    <w:rsid w:val="007B47FC"/>
    <w:rsid w:val="007B4ACB"/>
    <w:rsid w:val="007B4F33"/>
    <w:rsid w:val="007B5730"/>
    <w:rsid w:val="007B578D"/>
    <w:rsid w:val="007B59C8"/>
    <w:rsid w:val="007B6717"/>
    <w:rsid w:val="007B695B"/>
    <w:rsid w:val="007B6B86"/>
    <w:rsid w:val="007B7093"/>
    <w:rsid w:val="007B7225"/>
    <w:rsid w:val="007B768C"/>
    <w:rsid w:val="007B772D"/>
    <w:rsid w:val="007B7C77"/>
    <w:rsid w:val="007B7EA4"/>
    <w:rsid w:val="007C005B"/>
    <w:rsid w:val="007C0063"/>
    <w:rsid w:val="007C037A"/>
    <w:rsid w:val="007C11C1"/>
    <w:rsid w:val="007C13EA"/>
    <w:rsid w:val="007C1864"/>
    <w:rsid w:val="007C199A"/>
    <w:rsid w:val="007C1ABB"/>
    <w:rsid w:val="007C2D61"/>
    <w:rsid w:val="007C36ED"/>
    <w:rsid w:val="007C412C"/>
    <w:rsid w:val="007C4309"/>
    <w:rsid w:val="007C4316"/>
    <w:rsid w:val="007C4630"/>
    <w:rsid w:val="007C4723"/>
    <w:rsid w:val="007C550B"/>
    <w:rsid w:val="007C57F6"/>
    <w:rsid w:val="007C6B64"/>
    <w:rsid w:val="007C6BC9"/>
    <w:rsid w:val="007C7102"/>
    <w:rsid w:val="007C7A57"/>
    <w:rsid w:val="007D04FB"/>
    <w:rsid w:val="007D06F8"/>
    <w:rsid w:val="007D1414"/>
    <w:rsid w:val="007D15B6"/>
    <w:rsid w:val="007D1E64"/>
    <w:rsid w:val="007D2C78"/>
    <w:rsid w:val="007D2C8B"/>
    <w:rsid w:val="007D2CD7"/>
    <w:rsid w:val="007D2E9A"/>
    <w:rsid w:val="007D336A"/>
    <w:rsid w:val="007D3A78"/>
    <w:rsid w:val="007D419D"/>
    <w:rsid w:val="007D42C8"/>
    <w:rsid w:val="007D4661"/>
    <w:rsid w:val="007D4821"/>
    <w:rsid w:val="007D4ECA"/>
    <w:rsid w:val="007D5448"/>
    <w:rsid w:val="007D56D7"/>
    <w:rsid w:val="007D58EB"/>
    <w:rsid w:val="007D611B"/>
    <w:rsid w:val="007D69C1"/>
    <w:rsid w:val="007D6F27"/>
    <w:rsid w:val="007E021E"/>
    <w:rsid w:val="007E0241"/>
    <w:rsid w:val="007E051A"/>
    <w:rsid w:val="007E0861"/>
    <w:rsid w:val="007E0E5C"/>
    <w:rsid w:val="007E0F71"/>
    <w:rsid w:val="007E0FB5"/>
    <w:rsid w:val="007E1046"/>
    <w:rsid w:val="007E1284"/>
    <w:rsid w:val="007E1546"/>
    <w:rsid w:val="007E15ED"/>
    <w:rsid w:val="007E1C1D"/>
    <w:rsid w:val="007E1CBB"/>
    <w:rsid w:val="007E1E35"/>
    <w:rsid w:val="007E241C"/>
    <w:rsid w:val="007E287C"/>
    <w:rsid w:val="007E2929"/>
    <w:rsid w:val="007E2EAD"/>
    <w:rsid w:val="007E2EFF"/>
    <w:rsid w:val="007E3559"/>
    <w:rsid w:val="007E3AC6"/>
    <w:rsid w:val="007E46CC"/>
    <w:rsid w:val="007E51A7"/>
    <w:rsid w:val="007E54AA"/>
    <w:rsid w:val="007E56B1"/>
    <w:rsid w:val="007E58EB"/>
    <w:rsid w:val="007E5B89"/>
    <w:rsid w:val="007E67C8"/>
    <w:rsid w:val="007E6909"/>
    <w:rsid w:val="007E6C64"/>
    <w:rsid w:val="007F0021"/>
    <w:rsid w:val="007F04A3"/>
    <w:rsid w:val="007F125E"/>
    <w:rsid w:val="007F13FB"/>
    <w:rsid w:val="007F14AE"/>
    <w:rsid w:val="007F187F"/>
    <w:rsid w:val="007F236A"/>
    <w:rsid w:val="007F2628"/>
    <w:rsid w:val="007F2665"/>
    <w:rsid w:val="007F2BE4"/>
    <w:rsid w:val="007F3021"/>
    <w:rsid w:val="007F3F7D"/>
    <w:rsid w:val="007F5B15"/>
    <w:rsid w:val="007F5BF7"/>
    <w:rsid w:val="007F61D4"/>
    <w:rsid w:val="007F640C"/>
    <w:rsid w:val="007F671A"/>
    <w:rsid w:val="007F6735"/>
    <w:rsid w:val="007F6B7F"/>
    <w:rsid w:val="007F6D3D"/>
    <w:rsid w:val="007F6FDB"/>
    <w:rsid w:val="007F7987"/>
    <w:rsid w:val="00800575"/>
    <w:rsid w:val="008005B7"/>
    <w:rsid w:val="008007DD"/>
    <w:rsid w:val="00800BBE"/>
    <w:rsid w:val="00801647"/>
    <w:rsid w:val="00802D3D"/>
    <w:rsid w:val="00803138"/>
    <w:rsid w:val="008036C8"/>
    <w:rsid w:val="008037C1"/>
    <w:rsid w:val="00804C22"/>
    <w:rsid w:val="00804C33"/>
    <w:rsid w:val="00804CD5"/>
    <w:rsid w:val="0080521E"/>
    <w:rsid w:val="0080530C"/>
    <w:rsid w:val="008054DD"/>
    <w:rsid w:val="008059B2"/>
    <w:rsid w:val="008059DA"/>
    <w:rsid w:val="00805C93"/>
    <w:rsid w:val="0080616B"/>
    <w:rsid w:val="0080620C"/>
    <w:rsid w:val="00806238"/>
    <w:rsid w:val="0080723C"/>
    <w:rsid w:val="0080725E"/>
    <w:rsid w:val="00807668"/>
    <w:rsid w:val="0080793C"/>
    <w:rsid w:val="00807DF4"/>
    <w:rsid w:val="0081046E"/>
    <w:rsid w:val="0081071C"/>
    <w:rsid w:val="0081094D"/>
    <w:rsid w:val="00811055"/>
    <w:rsid w:val="00811D59"/>
    <w:rsid w:val="00811FF6"/>
    <w:rsid w:val="008120D7"/>
    <w:rsid w:val="008121C6"/>
    <w:rsid w:val="00812F38"/>
    <w:rsid w:val="008132D5"/>
    <w:rsid w:val="008134E0"/>
    <w:rsid w:val="0081359C"/>
    <w:rsid w:val="008135D0"/>
    <w:rsid w:val="00813FD6"/>
    <w:rsid w:val="0081405E"/>
    <w:rsid w:val="0081469A"/>
    <w:rsid w:val="008146E1"/>
    <w:rsid w:val="008152A7"/>
    <w:rsid w:val="00815B06"/>
    <w:rsid w:val="00815D9E"/>
    <w:rsid w:val="008179DC"/>
    <w:rsid w:val="00817D04"/>
    <w:rsid w:val="00817D23"/>
    <w:rsid w:val="00817F8D"/>
    <w:rsid w:val="008203BC"/>
    <w:rsid w:val="008209D0"/>
    <w:rsid w:val="00820E21"/>
    <w:rsid w:val="00820EF3"/>
    <w:rsid w:val="00821D69"/>
    <w:rsid w:val="00822043"/>
    <w:rsid w:val="008229A0"/>
    <w:rsid w:val="00824840"/>
    <w:rsid w:val="00824B23"/>
    <w:rsid w:val="00825074"/>
    <w:rsid w:val="00825628"/>
    <w:rsid w:val="00826030"/>
    <w:rsid w:val="0082605D"/>
    <w:rsid w:val="008267A4"/>
    <w:rsid w:val="00827667"/>
    <w:rsid w:val="00830123"/>
    <w:rsid w:val="00830C65"/>
    <w:rsid w:val="00831A78"/>
    <w:rsid w:val="00832764"/>
    <w:rsid w:val="00832F3E"/>
    <w:rsid w:val="0083337F"/>
    <w:rsid w:val="00833462"/>
    <w:rsid w:val="0083399C"/>
    <w:rsid w:val="00833A13"/>
    <w:rsid w:val="00835A11"/>
    <w:rsid w:val="00836B83"/>
    <w:rsid w:val="0083762C"/>
    <w:rsid w:val="00837971"/>
    <w:rsid w:val="00837D47"/>
    <w:rsid w:val="008402EF"/>
    <w:rsid w:val="008407A5"/>
    <w:rsid w:val="008407B8"/>
    <w:rsid w:val="0084148F"/>
    <w:rsid w:val="00841D3A"/>
    <w:rsid w:val="00842376"/>
    <w:rsid w:val="00842C6C"/>
    <w:rsid w:val="0084340D"/>
    <w:rsid w:val="0084476B"/>
    <w:rsid w:val="00845AAD"/>
    <w:rsid w:val="008462ED"/>
    <w:rsid w:val="00846785"/>
    <w:rsid w:val="00846DE9"/>
    <w:rsid w:val="00847364"/>
    <w:rsid w:val="00847AE0"/>
    <w:rsid w:val="00847E7D"/>
    <w:rsid w:val="0085082E"/>
    <w:rsid w:val="00850E1F"/>
    <w:rsid w:val="00851172"/>
    <w:rsid w:val="00851544"/>
    <w:rsid w:val="00851695"/>
    <w:rsid w:val="00851A3E"/>
    <w:rsid w:val="00851CEB"/>
    <w:rsid w:val="008522AB"/>
    <w:rsid w:val="00852894"/>
    <w:rsid w:val="00852B41"/>
    <w:rsid w:val="0085308F"/>
    <w:rsid w:val="0085343C"/>
    <w:rsid w:val="0085374F"/>
    <w:rsid w:val="008537FD"/>
    <w:rsid w:val="00853950"/>
    <w:rsid w:val="008546F6"/>
    <w:rsid w:val="00854A73"/>
    <w:rsid w:val="00854AFA"/>
    <w:rsid w:val="00854C95"/>
    <w:rsid w:val="00855D80"/>
    <w:rsid w:val="00856423"/>
    <w:rsid w:val="0085703B"/>
    <w:rsid w:val="008577C2"/>
    <w:rsid w:val="00860301"/>
    <w:rsid w:val="00860975"/>
    <w:rsid w:val="0086114F"/>
    <w:rsid w:val="008612B1"/>
    <w:rsid w:val="008616D2"/>
    <w:rsid w:val="00861BC5"/>
    <w:rsid w:val="00861E16"/>
    <w:rsid w:val="00861F38"/>
    <w:rsid w:val="00862132"/>
    <w:rsid w:val="00862D29"/>
    <w:rsid w:val="008632AD"/>
    <w:rsid w:val="00864516"/>
    <w:rsid w:val="00864696"/>
    <w:rsid w:val="00864A1A"/>
    <w:rsid w:val="00864B65"/>
    <w:rsid w:val="00864C43"/>
    <w:rsid w:val="00864CFD"/>
    <w:rsid w:val="00864DB5"/>
    <w:rsid w:val="00864F44"/>
    <w:rsid w:val="008651A8"/>
    <w:rsid w:val="008655E1"/>
    <w:rsid w:val="00865610"/>
    <w:rsid w:val="00865640"/>
    <w:rsid w:val="0086638A"/>
    <w:rsid w:val="00866646"/>
    <w:rsid w:val="00866A40"/>
    <w:rsid w:val="00866DE5"/>
    <w:rsid w:val="00867116"/>
    <w:rsid w:val="00867E54"/>
    <w:rsid w:val="00870A29"/>
    <w:rsid w:val="00870AB3"/>
    <w:rsid w:val="00870BAC"/>
    <w:rsid w:val="00870E91"/>
    <w:rsid w:val="00870F6F"/>
    <w:rsid w:val="00871343"/>
    <w:rsid w:val="008717DA"/>
    <w:rsid w:val="00871B61"/>
    <w:rsid w:val="00871E28"/>
    <w:rsid w:val="00872118"/>
    <w:rsid w:val="008726F6"/>
    <w:rsid w:val="00873379"/>
    <w:rsid w:val="00873930"/>
    <w:rsid w:val="00873AD5"/>
    <w:rsid w:val="00874226"/>
    <w:rsid w:val="008743B8"/>
    <w:rsid w:val="00874614"/>
    <w:rsid w:val="008748AF"/>
    <w:rsid w:val="00874CB9"/>
    <w:rsid w:val="00874E99"/>
    <w:rsid w:val="00874F50"/>
    <w:rsid w:val="00875341"/>
    <w:rsid w:val="0087564F"/>
    <w:rsid w:val="0087655B"/>
    <w:rsid w:val="00877085"/>
    <w:rsid w:val="00877CBE"/>
    <w:rsid w:val="00880065"/>
    <w:rsid w:val="00880719"/>
    <w:rsid w:val="0088081C"/>
    <w:rsid w:val="00880AAF"/>
    <w:rsid w:val="008827B1"/>
    <w:rsid w:val="008834DF"/>
    <w:rsid w:val="00883A15"/>
    <w:rsid w:val="00883F59"/>
    <w:rsid w:val="008847D1"/>
    <w:rsid w:val="00884CE6"/>
    <w:rsid w:val="00885A93"/>
    <w:rsid w:val="00885BA6"/>
    <w:rsid w:val="00885F0E"/>
    <w:rsid w:val="008863E8"/>
    <w:rsid w:val="00887181"/>
    <w:rsid w:val="008876E9"/>
    <w:rsid w:val="00887CAC"/>
    <w:rsid w:val="00890120"/>
    <w:rsid w:val="00890E5F"/>
    <w:rsid w:val="0089244E"/>
    <w:rsid w:val="00892759"/>
    <w:rsid w:val="008927AA"/>
    <w:rsid w:val="008931A3"/>
    <w:rsid w:val="00893357"/>
    <w:rsid w:val="008935ED"/>
    <w:rsid w:val="00893A1B"/>
    <w:rsid w:val="00894B11"/>
    <w:rsid w:val="008953ED"/>
    <w:rsid w:val="00895769"/>
    <w:rsid w:val="008957E7"/>
    <w:rsid w:val="008959AD"/>
    <w:rsid w:val="00895A36"/>
    <w:rsid w:val="00895AE4"/>
    <w:rsid w:val="00895E78"/>
    <w:rsid w:val="00896208"/>
    <w:rsid w:val="00896AF6"/>
    <w:rsid w:val="00897C14"/>
    <w:rsid w:val="008A08CC"/>
    <w:rsid w:val="008A0C82"/>
    <w:rsid w:val="008A192C"/>
    <w:rsid w:val="008A1DB6"/>
    <w:rsid w:val="008A258A"/>
    <w:rsid w:val="008A2BCD"/>
    <w:rsid w:val="008A31AD"/>
    <w:rsid w:val="008A3370"/>
    <w:rsid w:val="008A34E6"/>
    <w:rsid w:val="008A3943"/>
    <w:rsid w:val="008A3DE9"/>
    <w:rsid w:val="008A4059"/>
    <w:rsid w:val="008A595B"/>
    <w:rsid w:val="008A59E1"/>
    <w:rsid w:val="008A5F57"/>
    <w:rsid w:val="008A5F9F"/>
    <w:rsid w:val="008A6684"/>
    <w:rsid w:val="008A6B4A"/>
    <w:rsid w:val="008A74AB"/>
    <w:rsid w:val="008A796A"/>
    <w:rsid w:val="008A79DB"/>
    <w:rsid w:val="008A7B99"/>
    <w:rsid w:val="008A7FF4"/>
    <w:rsid w:val="008B069A"/>
    <w:rsid w:val="008B1337"/>
    <w:rsid w:val="008B1A2D"/>
    <w:rsid w:val="008B1BD0"/>
    <w:rsid w:val="008B3058"/>
    <w:rsid w:val="008B3157"/>
    <w:rsid w:val="008B3337"/>
    <w:rsid w:val="008B35F3"/>
    <w:rsid w:val="008B3695"/>
    <w:rsid w:val="008B424E"/>
    <w:rsid w:val="008B4CB8"/>
    <w:rsid w:val="008B53E9"/>
    <w:rsid w:val="008B5425"/>
    <w:rsid w:val="008B582B"/>
    <w:rsid w:val="008C0258"/>
    <w:rsid w:val="008C1550"/>
    <w:rsid w:val="008C17FE"/>
    <w:rsid w:val="008C1C15"/>
    <w:rsid w:val="008C1E23"/>
    <w:rsid w:val="008C2252"/>
    <w:rsid w:val="008C2BDF"/>
    <w:rsid w:val="008C2D06"/>
    <w:rsid w:val="008C2F27"/>
    <w:rsid w:val="008C2FA3"/>
    <w:rsid w:val="008C3A9D"/>
    <w:rsid w:val="008C3D1B"/>
    <w:rsid w:val="008C3D9A"/>
    <w:rsid w:val="008C3DC7"/>
    <w:rsid w:val="008C3FF4"/>
    <w:rsid w:val="008C4102"/>
    <w:rsid w:val="008C4193"/>
    <w:rsid w:val="008C4552"/>
    <w:rsid w:val="008C483A"/>
    <w:rsid w:val="008C4867"/>
    <w:rsid w:val="008C50EE"/>
    <w:rsid w:val="008C5486"/>
    <w:rsid w:val="008C56B6"/>
    <w:rsid w:val="008C56E1"/>
    <w:rsid w:val="008C6418"/>
    <w:rsid w:val="008C6914"/>
    <w:rsid w:val="008C73C0"/>
    <w:rsid w:val="008C75CE"/>
    <w:rsid w:val="008C75FC"/>
    <w:rsid w:val="008C768B"/>
    <w:rsid w:val="008D0C12"/>
    <w:rsid w:val="008D15E7"/>
    <w:rsid w:val="008D1840"/>
    <w:rsid w:val="008D1D57"/>
    <w:rsid w:val="008D1F70"/>
    <w:rsid w:val="008D1FF5"/>
    <w:rsid w:val="008D2B36"/>
    <w:rsid w:val="008D2F3D"/>
    <w:rsid w:val="008D3758"/>
    <w:rsid w:val="008D3D13"/>
    <w:rsid w:val="008D4301"/>
    <w:rsid w:val="008D43C2"/>
    <w:rsid w:val="008D4DD2"/>
    <w:rsid w:val="008D4E91"/>
    <w:rsid w:val="008D512B"/>
    <w:rsid w:val="008D54A8"/>
    <w:rsid w:val="008D5E30"/>
    <w:rsid w:val="008D6DAE"/>
    <w:rsid w:val="008D7624"/>
    <w:rsid w:val="008E05D5"/>
    <w:rsid w:val="008E163D"/>
    <w:rsid w:val="008E1D74"/>
    <w:rsid w:val="008E2012"/>
    <w:rsid w:val="008E3397"/>
    <w:rsid w:val="008E3653"/>
    <w:rsid w:val="008E3869"/>
    <w:rsid w:val="008E40EA"/>
    <w:rsid w:val="008E56A9"/>
    <w:rsid w:val="008E57E3"/>
    <w:rsid w:val="008E73CB"/>
    <w:rsid w:val="008E77D6"/>
    <w:rsid w:val="008E798A"/>
    <w:rsid w:val="008E7B54"/>
    <w:rsid w:val="008E7D71"/>
    <w:rsid w:val="008F0C74"/>
    <w:rsid w:val="008F2D15"/>
    <w:rsid w:val="008F378E"/>
    <w:rsid w:val="008F37CA"/>
    <w:rsid w:val="008F42A3"/>
    <w:rsid w:val="008F4617"/>
    <w:rsid w:val="008F4627"/>
    <w:rsid w:val="008F54AE"/>
    <w:rsid w:val="008F59F2"/>
    <w:rsid w:val="008F654F"/>
    <w:rsid w:val="008F6987"/>
    <w:rsid w:val="008F6AD7"/>
    <w:rsid w:val="00900648"/>
    <w:rsid w:val="009009F2"/>
    <w:rsid w:val="00900B14"/>
    <w:rsid w:val="00900B4D"/>
    <w:rsid w:val="00900B78"/>
    <w:rsid w:val="00900DD3"/>
    <w:rsid w:val="009010A6"/>
    <w:rsid w:val="00901309"/>
    <w:rsid w:val="009017DE"/>
    <w:rsid w:val="00901B09"/>
    <w:rsid w:val="00902C49"/>
    <w:rsid w:val="00902CE1"/>
    <w:rsid w:val="009030E2"/>
    <w:rsid w:val="009032EB"/>
    <w:rsid w:val="0090358B"/>
    <w:rsid w:val="009035DD"/>
    <w:rsid w:val="00903806"/>
    <w:rsid w:val="00903944"/>
    <w:rsid w:val="009039D8"/>
    <w:rsid w:val="00903A79"/>
    <w:rsid w:val="00903C14"/>
    <w:rsid w:val="00903CEB"/>
    <w:rsid w:val="00903F19"/>
    <w:rsid w:val="00904355"/>
    <w:rsid w:val="00904972"/>
    <w:rsid w:val="009060D4"/>
    <w:rsid w:val="00906106"/>
    <w:rsid w:val="009061C1"/>
    <w:rsid w:val="00907D6D"/>
    <w:rsid w:val="00910252"/>
    <w:rsid w:val="00910881"/>
    <w:rsid w:val="00911155"/>
    <w:rsid w:val="00911263"/>
    <w:rsid w:val="009113A4"/>
    <w:rsid w:val="00911BD2"/>
    <w:rsid w:val="00912643"/>
    <w:rsid w:val="009127EC"/>
    <w:rsid w:val="00912D93"/>
    <w:rsid w:val="00912F9F"/>
    <w:rsid w:val="009135C8"/>
    <w:rsid w:val="009137CF"/>
    <w:rsid w:val="00913EE5"/>
    <w:rsid w:val="00914A71"/>
    <w:rsid w:val="00914D0E"/>
    <w:rsid w:val="00915004"/>
    <w:rsid w:val="009158B2"/>
    <w:rsid w:val="00915E6A"/>
    <w:rsid w:val="0091610D"/>
    <w:rsid w:val="00916242"/>
    <w:rsid w:val="0091684F"/>
    <w:rsid w:val="00916D42"/>
    <w:rsid w:val="00917686"/>
    <w:rsid w:val="00917FCE"/>
    <w:rsid w:val="00920534"/>
    <w:rsid w:val="009206E6"/>
    <w:rsid w:val="0092070D"/>
    <w:rsid w:val="00920C11"/>
    <w:rsid w:val="00920CE6"/>
    <w:rsid w:val="00920EEA"/>
    <w:rsid w:val="00921728"/>
    <w:rsid w:val="009219FB"/>
    <w:rsid w:val="00922188"/>
    <w:rsid w:val="00922299"/>
    <w:rsid w:val="00922563"/>
    <w:rsid w:val="009227C9"/>
    <w:rsid w:val="00922822"/>
    <w:rsid w:val="00923016"/>
    <w:rsid w:val="00923192"/>
    <w:rsid w:val="00923982"/>
    <w:rsid w:val="00923FF4"/>
    <w:rsid w:val="0092484A"/>
    <w:rsid w:val="00924E89"/>
    <w:rsid w:val="009251E3"/>
    <w:rsid w:val="009256E6"/>
    <w:rsid w:val="00925CDE"/>
    <w:rsid w:val="00925FF6"/>
    <w:rsid w:val="009261BD"/>
    <w:rsid w:val="009274AF"/>
    <w:rsid w:val="00927FD3"/>
    <w:rsid w:val="0093027A"/>
    <w:rsid w:val="00930693"/>
    <w:rsid w:val="009306B9"/>
    <w:rsid w:val="00930CF1"/>
    <w:rsid w:val="00930CFB"/>
    <w:rsid w:val="00930F72"/>
    <w:rsid w:val="0093113D"/>
    <w:rsid w:val="009317D6"/>
    <w:rsid w:val="00931C73"/>
    <w:rsid w:val="009338A3"/>
    <w:rsid w:val="00933DF4"/>
    <w:rsid w:val="00934EFA"/>
    <w:rsid w:val="009355D6"/>
    <w:rsid w:val="00935FA4"/>
    <w:rsid w:val="00936992"/>
    <w:rsid w:val="009369D0"/>
    <w:rsid w:val="00936A33"/>
    <w:rsid w:val="00936F27"/>
    <w:rsid w:val="009371F1"/>
    <w:rsid w:val="00937202"/>
    <w:rsid w:val="009375F3"/>
    <w:rsid w:val="009378AA"/>
    <w:rsid w:val="0093795B"/>
    <w:rsid w:val="0094042F"/>
    <w:rsid w:val="009404F3"/>
    <w:rsid w:val="00940735"/>
    <w:rsid w:val="00940846"/>
    <w:rsid w:val="00941A02"/>
    <w:rsid w:val="0094230A"/>
    <w:rsid w:val="009428F4"/>
    <w:rsid w:val="00943731"/>
    <w:rsid w:val="00943DA0"/>
    <w:rsid w:val="00944129"/>
    <w:rsid w:val="0094479E"/>
    <w:rsid w:val="00945598"/>
    <w:rsid w:val="00945C23"/>
    <w:rsid w:val="00945D43"/>
    <w:rsid w:val="00945FD5"/>
    <w:rsid w:val="0094636C"/>
    <w:rsid w:val="0094689D"/>
    <w:rsid w:val="00946FC1"/>
    <w:rsid w:val="00947A50"/>
    <w:rsid w:val="009508EB"/>
    <w:rsid w:val="00951C02"/>
    <w:rsid w:val="00952F8C"/>
    <w:rsid w:val="009537B5"/>
    <w:rsid w:val="0095384C"/>
    <w:rsid w:val="00953FE9"/>
    <w:rsid w:val="00954136"/>
    <w:rsid w:val="009556C5"/>
    <w:rsid w:val="0095688F"/>
    <w:rsid w:val="009568A7"/>
    <w:rsid w:val="00956A89"/>
    <w:rsid w:val="00956AB4"/>
    <w:rsid w:val="00956C72"/>
    <w:rsid w:val="00956E5B"/>
    <w:rsid w:val="00956F0D"/>
    <w:rsid w:val="00956F1A"/>
    <w:rsid w:val="00957335"/>
    <w:rsid w:val="00957508"/>
    <w:rsid w:val="00957C66"/>
    <w:rsid w:val="00960696"/>
    <w:rsid w:val="00960749"/>
    <w:rsid w:val="009607CD"/>
    <w:rsid w:val="00960933"/>
    <w:rsid w:val="00960AF1"/>
    <w:rsid w:val="00960F73"/>
    <w:rsid w:val="0096105C"/>
    <w:rsid w:val="0096119F"/>
    <w:rsid w:val="00961A04"/>
    <w:rsid w:val="00961B8B"/>
    <w:rsid w:val="009624B5"/>
    <w:rsid w:val="00962514"/>
    <w:rsid w:val="009626A4"/>
    <w:rsid w:val="00962730"/>
    <w:rsid w:val="00962D40"/>
    <w:rsid w:val="00963131"/>
    <w:rsid w:val="00963817"/>
    <w:rsid w:val="00963932"/>
    <w:rsid w:val="00963D3C"/>
    <w:rsid w:val="00963FF9"/>
    <w:rsid w:val="00964CF2"/>
    <w:rsid w:val="00965907"/>
    <w:rsid w:val="00965BC0"/>
    <w:rsid w:val="00965C4B"/>
    <w:rsid w:val="00965EE9"/>
    <w:rsid w:val="00965F26"/>
    <w:rsid w:val="009661D7"/>
    <w:rsid w:val="009667AB"/>
    <w:rsid w:val="0096686C"/>
    <w:rsid w:val="00966D04"/>
    <w:rsid w:val="009675CE"/>
    <w:rsid w:val="00967B85"/>
    <w:rsid w:val="00967E84"/>
    <w:rsid w:val="00967EF1"/>
    <w:rsid w:val="00970984"/>
    <w:rsid w:val="00970EDA"/>
    <w:rsid w:val="009716A9"/>
    <w:rsid w:val="00971D8D"/>
    <w:rsid w:val="009720BC"/>
    <w:rsid w:val="00972B5F"/>
    <w:rsid w:val="009733FD"/>
    <w:rsid w:val="009735AD"/>
    <w:rsid w:val="009737CF"/>
    <w:rsid w:val="00973ACE"/>
    <w:rsid w:val="00973B1F"/>
    <w:rsid w:val="0097435E"/>
    <w:rsid w:val="00975459"/>
    <w:rsid w:val="00975DE1"/>
    <w:rsid w:val="00977098"/>
    <w:rsid w:val="00977252"/>
    <w:rsid w:val="00977372"/>
    <w:rsid w:val="00977432"/>
    <w:rsid w:val="00977781"/>
    <w:rsid w:val="009778D3"/>
    <w:rsid w:val="00977EEB"/>
    <w:rsid w:val="00980BDE"/>
    <w:rsid w:val="00980BE0"/>
    <w:rsid w:val="00980FD7"/>
    <w:rsid w:val="0098115C"/>
    <w:rsid w:val="00981773"/>
    <w:rsid w:val="0098226C"/>
    <w:rsid w:val="00982438"/>
    <w:rsid w:val="00983159"/>
    <w:rsid w:val="00983672"/>
    <w:rsid w:val="00983784"/>
    <w:rsid w:val="00983BD2"/>
    <w:rsid w:val="00983BD7"/>
    <w:rsid w:val="00983CB7"/>
    <w:rsid w:val="00983D0F"/>
    <w:rsid w:val="009846C4"/>
    <w:rsid w:val="00984882"/>
    <w:rsid w:val="00984949"/>
    <w:rsid w:val="00984975"/>
    <w:rsid w:val="009849D7"/>
    <w:rsid w:val="00984B74"/>
    <w:rsid w:val="009850FA"/>
    <w:rsid w:val="009854AD"/>
    <w:rsid w:val="009858BF"/>
    <w:rsid w:val="0098593E"/>
    <w:rsid w:val="009859A3"/>
    <w:rsid w:val="00985A52"/>
    <w:rsid w:val="009860EC"/>
    <w:rsid w:val="00986D83"/>
    <w:rsid w:val="009870F2"/>
    <w:rsid w:val="009877DE"/>
    <w:rsid w:val="009900FC"/>
    <w:rsid w:val="00990219"/>
    <w:rsid w:val="00990A43"/>
    <w:rsid w:val="009917B8"/>
    <w:rsid w:val="00991813"/>
    <w:rsid w:val="009919F3"/>
    <w:rsid w:val="00991DA3"/>
    <w:rsid w:val="009921FE"/>
    <w:rsid w:val="00992433"/>
    <w:rsid w:val="0099243E"/>
    <w:rsid w:val="009927B4"/>
    <w:rsid w:val="00992A3C"/>
    <w:rsid w:val="00992C1B"/>
    <w:rsid w:val="00992CAC"/>
    <w:rsid w:val="00992CD5"/>
    <w:rsid w:val="00992E8B"/>
    <w:rsid w:val="00992FB4"/>
    <w:rsid w:val="00993262"/>
    <w:rsid w:val="00993DC6"/>
    <w:rsid w:val="009948C1"/>
    <w:rsid w:val="00994B78"/>
    <w:rsid w:val="00994D38"/>
    <w:rsid w:val="00994EFB"/>
    <w:rsid w:val="00995981"/>
    <w:rsid w:val="00995D47"/>
    <w:rsid w:val="0099606F"/>
    <w:rsid w:val="009969DF"/>
    <w:rsid w:val="00996AF0"/>
    <w:rsid w:val="00997206"/>
    <w:rsid w:val="00997277"/>
    <w:rsid w:val="00997B01"/>
    <w:rsid w:val="00997C77"/>
    <w:rsid w:val="00997E38"/>
    <w:rsid w:val="00997F97"/>
    <w:rsid w:val="009A05BD"/>
    <w:rsid w:val="009A085C"/>
    <w:rsid w:val="009A0C9B"/>
    <w:rsid w:val="009A0E64"/>
    <w:rsid w:val="009A1158"/>
    <w:rsid w:val="009A117A"/>
    <w:rsid w:val="009A123A"/>
    <w:rsid w:val="009A14C0"/>
    <w:rsid w:val="009A1936"/>
    <w:rsid w:val="009A1BF5"/>
    <w:rsid w:val="009A2A57"/>
    <w:rsid w:val="009A2F96"/>
    <w:rsid w:val="009A326B"/>
    <w:rsid w:val="009A32D6"/>
    <w:rsid w:val="009A38D7"/>
    <w:rsid w:val="009A400E"/>
    <w:rsid w:val="009A4507"/>
    <w:rsid w:val="009A46BA"/>
    <w:rsid w:val="009A55F0"/>
    <w:rsid w:val="009A5EFE"/>
    <w:rsid w:val="009A5F0E"/>
    <w:rsid w:val="009A6BE2"/>
    <w:rsid w:val="009A766D"/>
    <w:rsid w:val="009B0351"/>
    <w:rsid w:val="009B0E08"/>
    <w:rsid w:val="009B1EA0"/>
    <w:rsid w:val="009B25F9"/>
    <w:rsid w:val="009B2BE7"/>
    <w:rsid w:val="009B3291"/>
    <w:rsid w:val="009B338D"/>
    <w:rsid w:val="009B3468"/>
    <w:rsid w:val="009B3CB1"/>
    <w:rsid w:val="009B3CC9"/>
    <w:rsid w:val="009B40D8"/>
    <w:rsid w:val="009B418C"/>
    <w:rsid w:val="009B4EF8"/>
    <w:rsid w:val="009B4F2C"/>
    <w:rsid w:val="009B5775"/>
    <w:rsid w:val="009B5DAB"/>
    <w:rsid w:val="009B620F"/>
    <w:rsid w:val="009B6BEA"/>
    <w:rsid w:val="009B6E9B"/>
    <w:rsid w:val="009B7DC0"/>
    <w:rsid w:val="009C129C"/>
    <w:rsid w:val="009C1C73"/>
    <w:rsid w:val="009C223A"/>
    <w:rsid w:val="009C23EF"/>
    <w:rsid w:val="009C263A"/>
    <w:rsid w:val="009C2B7F"/>
    <w:rsid w:val="009C3558"/>
    <w:rsid w:val="009C37CB"/>
    <w:rsid w:val="009C38CE"/>
    <w:rsid w:val="009C3A7F"/>
    <w:rsid w:val="009C3AB6"/>
    <w:rsid w:val="009C3C56"/>
    <w:rsid w:val="009C3DC1"/>
    <w:rsid w:val="009C454A"/>
    <w:rsid w:val="009C47AE"/>
    <w:rsid w:val="009C498A"/>
    <w:rsid w:val="009C4C62"/>
    <w:rsid w:val="009C5136"/>
    <w:rsid w:val="009C5286"/>
    <w:rsid w:val="009C5923"/>
    <w:rsid w:val="009C5978"/>
    <w:rsid w:val="009C5989"/>
    <w:rsid w:val="009C5A60"/>
    <w:rsid w:val="009C5E41"/>
    <w:rsid w:val="009C6297"/>
    <w:rsid w:val="009C6744"/>
    <w:rsid w:val="009C6CD5"/>
    <w:rsid w:val="009C72F8"/>
    <w:rsid w:val="009C73A6"/>
    <w:rsid w:val="009C74B2"/>
    <w:rsid w:val="009C7B70"/>
    <w:rsid w:val="009C7ECB"/>
    <w:rsid w:val="009D0C1F"/>
    <w:rsid w:val="009D0D50"/>
    <w:rsid w:val="009D10E1"/>
    <w:rsid w:val="009D28FD"/>
    <w:rsid w:val="009D3873"/>
    <w:rsid w:val="009D3A94"/>
    <w:rsid w:val="009D450D"/>
    <w:rsid w:val="009D500C"/>
    <w:rsid w:val="009D5FD4"/>
    <w:rsid w:val="009D676A"/>
    <w:rsid w:val="009D67EC"/>
    <w:rsid w:val="009D70CA"/>
    <w:rsid w:val="009D7348"/>
    <w:rsid w:val="009D7398"/>
    <w:rsid w:val="009D7904"/>
    <w:rsid w:val="009E01FC"/>
    <w:rsid w:val="009E08E9"/>
    <w:rsid w:val="009E0BA9"/>
    <w:rsid w:val="009E170D"/>
    <w:rsid w:val="009E1EF4"/>
    <w:rsid w:val="009E1F2C"/>
    <w:rsid w:val="009E1F6B"/>
    <w:rsid w:val="009E25C3"/>
    <w:rsid w:val="009E289B"/>
    <w:rsid w:val="009E2B78"/>
    <w:rsid w:val="009E2C0A"/>
    <w:rsid w:val="009E31C5"/>
    <w:rsid w:val="009E3841"/>
    <w:rsid w:val="009E3BFC"/>
    <w:rsid w:val="009E3C53"/>
    <w:rsid w:val="009E4784"/>
    <w:rsid w:val="009E4BEE"/>
    <w:rsid w:val="009E4CE6"/>
    <w:rsid w:val="009E5142"/>
    <w:rsid w:val="009E5885"/>
    <w:rsid w:val="009E59CE"/>
    <w:rsid w:val="009E5B8A"/>
    <w:rsid w:val="009E5F56"/>
    <w:rsid w:val="009E6223"/>
    <w:rsid w:val="009E64E5"/>
    <w:rsid w:val="009E6C11"/>
    <w:rsid w:val="009E6EFB"/>
    <w:rsid w:val="009E6F7E"/>
    <w:rsid w:val="009E7658"/>
    <w:rsid w:val="009F017C"/>
    <w:rsid w:val="009F0529"/>
    <w:rsid w:val="009F0594"/>
    <w:rsid w:val="009F0828"/>
    <w:rsid w:val="009F08FB"/>
    <w:rsid w:val="009F1177"/>
    <w:rsid w:val="009F1872"/>
    <w:rsid w:val="009F1B7B"/>
    <w:rsid w:val="009F1DC3"/>
    <w:rsid w:val="009F3122"/>
    <w:rsid w:val="009F4755"/>
    <w:rsid w:val="009F4873"/>
    <w:rsid w:val="009F4AF1"/>
    <w:rsid w:val="009F4DDB"/>
    <w:rsid w:val="009F5091"/>
    <w:rsid w:val="009F526D"/>
    <w:rsid w:val="009F5715"/>
    <w:rsid w:val="009F5846"/>
    <w:rsid w:val="009F5AC3"/>
    <w:rsid w:val="009F5EFD"/>
    <w:rsid w:val="009F66EA"/>
    <w:rsid w:val="009F71FA"/>
    <w:rsid w:val="009F7781"/>
    <w:rsid w:val="009F7917"/>
    <w:rsid w:val="00A002AE"/>
    <w:rsid w:val="00A002E2"/>
    <w:rsid w:val="00A010E9"/>
    <w:rsid w:val="00A01434"/>
    <w:rsid w:val="00A01DD0"/>
    <w:rsid w:val="00A0211A"/>
    <w:rsid w:val="00A023E0"/>
    <w:rsid w:val="00A023EC"/>
    <w:rsid w:val="00A030B9"/>
    <w:rsid w:val="00A039D1"/>
    <w:rsid w:val="00A03D40"/>
    <w:rsid w:val="00A04F19"/>
    <w:rsid w:val="00A04F8B"/>
    <w:rsid w:val="00A050AE"/>
    <w:rsid w:val="00A05330"/>
    <w:rsid w:val="00A05559"/>
    <w:rsid w:val="00A05A4A"/>
    <w:rsid w:val="00A06103"/>
    <w:rsid w:val="00A06B16"/>
    <w:rsid w:val="00A06C89"/>
    <w:rsid w:val="00A06E55"/>
    <w:rsid w:val="00A1055C"/>
    <w:rsid w:val="00A10990"/>
    <w:rsid w:val="00A10DDE"/>
    <w:rsid w:val="00A10F16"/>
    <w:rsid w:val="00A121C1"/>
    <w:rsid w:val="00A1227E"/>
    <w:rsid w:val="00A1289F"/>
    <w:rsid w:val="00A12C25"/>
    <w:rsid w:val="00A12E0D"/>
    <w:rsid w:val="00A12F00"/>
    <w:rsid w:val="00A13484"/>
    <w:rsid w:val="00A13924"/>
    <w:rsid w:val="00A14341"/>
    <w:rsid w:val="00A1435E"/>
    <w:rsid w:val="00A15FDD"/>
    <w:rsid w:val="00A1685E"/>
    <w:rsid w:val="00A169EB"/>
    <w:rsid w:val="00A16A23"/>
    <w:rsid w:val="00A17724"/>
    <w:rsid w:val="00A17BD5"/>
    <w:rsid w:val="00A20ABC"/>
    <w:rsid w:val="00A21198"/>
    <w:rsid w:val="00A21DAE"/>
    <w:rsid w:val="00A21FC6"/>
    <w:rsid w:val="00A22403"/>
    <w:rsid w:val="00A2287A"/>
    <w:rsid w:val="00A22D3E"/>
    <w:rsid w:val="00A243B4"/>
    <w:rsid w:val="00A24D5C"/>
    <w:rsid w:val="00A25F50"/>
    <w:rsid w:val="00A2614F"/>
    <w:rsid w:val="00A262D2"/>
    <w:rsid w:val="00A264DC"/>
    <w:rsid w:val="00A268BC"/>
    <w:rsid w:val="00A26C04"/>
    <w:rsid w:val="00A26EE1"/>
    <w:rsid w:val="00A2775F"/>
    <w:rsid w:val="00A27C35"/>
    <w:rsid w:val="00A30214"/>
    <w:rsid w:val="00A30A52"/>
    <w:rsid w:val="00A31394"/>
    <w:rsid w:val="00A320E5"/>
    <w:rsid w:val="00A32B3D"/>
    <w:rsid w:val="00A33007"/>
    <w:rsid w:val="00A33A96"/>
    <w:rsid w:val="00A34382"/>
    <w:rsid w:val="00A34496"/>
    <w:rsid w:val="00A34572"/>
    <w:rsid w:val="00A34CA7"/>
    <w:rsid w:val="00A35060"/>
    <w:rsid w:val="00A3597D"/>
    <w:rsid w:val="00A36259"/>
    <w:rsid w:val="00A366EE"/>
    <w:rsid w:val="00A368A8"/>
    <w:rsid w:val="00A36D24"/>
    <w:rsid w:val="00A37302"/>
    <w:rsid w:val="00A37D25"/>
    <w:rsid w:val="00A37FA6"/>
    <w:rsid w:val="00A402A6"/>
    <w:rsid w:val="00A40D05"/>
    <w:rsid w:val="00A40D79"/>
    <w:rsid w:val="00A41305"/>
    <w:rsid w:val="00A41C2B"/>
    <w:rsid w:val="00A42040"/>
    <w:rsid w:val="00A42295"/>
    <w:rsid w:val="00A42B8B"/>
    <w:rsid w:val="00A42CBF"/>
    <w:rsid w:val="00A43609"/>
    <w:rsid w:val="00A43D7A"/>
    <w:rsid w:val="00A4464B"/>
    <w:rsid w:val="00A448F8"/>
    <w:rsid w:val="00A44A9B"/>
    <w:rsid w:val="00A45020"/>
    <w:rsid w:val="00A456E8"/>
    <w:rsid w:val="00A45990"/>
    <w:rsid w:val="00A45C78"/>
    <w:rsid w:val="00A46083"/>
    <w:rsid w:val="00A4653F"/>
    <w:rsid w:val="00A46807"/>
    <w:rsid w:val="00A47764"/>
    <w:rsid w:val="00A50304"/>
    <w:rsid w:val="00A50405"/>
    <w:rsid w:val="00A506DF"/>
    <w:rsid w:val="00A5070A"/>
    <w:rsid w:val="00A5078A"/>
    <w:rsid w:val="00A50AB8"/>
    <w:rsid w:val="00A50C05"/>
    <w:rsid w:val="00A5138E"/>
    <w:rsid w:val="00A513A7"/>
    <w:rsid w:val="00A51A04"/>
    <w:rsid w:val="00A52864"/>
    <w:rsid w:val="00A52B63"/>
    <w:rsid w:val="00A52E1F"/>
    <w:rsid w:val="00A52E2E"/>
    <w:rsid w:val="00A52E80"/>
    <w:rsid w:val="00A53431"/>
    <w:rsid w:val="00A536ED"/>
    <w:rsid w:val="00A53CAC"/>
    <w:rsid w:val="00A547DF"/>
    <w:rsid w:val="00A54BDC"/>
    <w:rsid w:val="00A54E8C"/>
    <w:rsid w:val="00A54F0E"/>
    <w:rsid w:val="00A550FA"/>
    <w:rsid w:val="00A56186"/>
    <w:rsid w:val="00A5636F"/>
    <w:rsid w:val="00A563DE"/>
    <w:rsid w:val="00A5658B"/>
    <w:rsid w:val="00A5669C"/>
    <w:rsid w:val="00A60214"/>
    <w:rsid w:val="00A60985"/>
    <w:rsid w:val="00A60C5C"/>
    <w:rsid w:val="00A614D3"/>
    <w:rsid w:val="00A61537"/>
    <w:rsid w:val="00A61618"/>
    <w:rsid w:val="00A624C2"/>
    <w:rsid w:val="00A62FA9"/>
    <w:rsid w:val="00A63016"/>
    <w:rsid w:val="00A6372E"/>
    <w:rsid w:val="00A637A1"/>
    <w:rsid w:val="00A63C3D"/>
    <w:rsid w:val="00A64251"/>
    <w:rsid w:val="00A64638"/>
    <w:rsid w:val="00A64C33"/>
    <w:rsid w:val="00A64ED4"/>
    <w:rsid w:val="00A64FD5"/>
    <w:rsid w:val="00A65191"/>
    <w:rsid w:val="00A6545C"/>
    <w:rsid w:val="00A657CB"/>
    <w:rsid w:val="00A65A18"/>
    <w:rsid w:val="00A65B3E"/>
    <w:rsid w:val="00A65BCD"/>
    <w:rsid w:val="00A65F61"/>
    <w:rsid w:val="00A66C79"/>
    <w:rsid w:val="00A66CAE"/>
    <w:rsid w:val="00A66FFB"/>
    <w:rsid w:val="00A67255"/>
    <w:rsid w:val="00A6744A"/>
    <w:rsid w:val="00A674DC"/>
    <w:rsid w:val="00A676DD"/>
    <w:rsid w:val="00A67ABC"/>
    <w:rsid w:val="00A705FB"/>
    <w:rsid w:val="00A70833"/>
    <w:rsid w:val="00A70BBC"/>
    <w:rsid w:val="00A710F1"/>
    <w:rsid w:val="00A71196"/>
    <w:rsid w:val="00A711C6"/>
    <w:rsid w:val="00A713D5"/>
    <w:rsid w:val="00A718B4"/>
    <w:rsid w:val="00A71C08"/>
    <w:rsid w:val="00A71C62"/>
    <w:rsid w:val="00A720EE"/>
    <w:rsid w:val="00A728BF"/>
    <w:rsid w:val="00A72A2F"/>
    <w:rsid w:val="00A72DBC"/>
    <w:rsid w:val="00A73006"/>
    <w:rsid w:val="00A7323F"/>
    <w:rsid w:val="00A734DE"/>
    <w:rsid w:val="00A7364A"/>
    <w:rsid w:val="00A73A44"/>
    <w:rsid w:val="00A743EF"/>
    <w:rsid w:val="00A7498A"/>
    <w:rsid w:val="00A74B08"/>
    <w:rsid w:val="00A74BC3"/>
    <w:rsid w:val="00A751D1"/>
    <w:rsid w:val="00A761AF"/>
    <w:rsid w:val="00A77214"/>
    <w:rsid w:val="00A77593"/>
    <w:rsid w:val="00A77ABC"/>
    <w:rsid w:val="00A80140"/>
    <w:rsid w:val="00A801A2"/>
    <w:rsid w:val="00A806C6"/>
    <w:rsid w:val="00A80A16"/>
    <w:rsid w:val="00A811A9"/>
    <w:rsid w:val="00A81632"/>
    <w:rsid w:val="00A818F4"/>
    <w:rsid w:val="00A827A4"/>
    <w:rsid w:val="00A83084"/>
    <w:rsid w:val="00A83BB5"/>
    <w:rsid w:val="00A84113"/>
    <w:rsid w:val="00A846D3"/>
    <w:rsid w:val="00A84CCC"/>
    <w:rsid w:val="00A85D5D"/>
    <w:rsid w:val="00A864DB"/>
    <w:rsid w:val="00A86796"/>
    <w:rsid w:val="00A868AB"/>
    <w:rsid w:val="00A8691A"/>
    <w:rsid w:val="00A86DA8"/>
    <w:rsid w:val="00A871DC"/>
    <w:rsid w:val="00A877F2"/>
    <w:rsid w:val="00A9016C"/>
    <w:rsid w:val="00A90B39"/>
    <w:rsid w:val="00A90DF7"/>
    <w:rsid w:val="00A910CB"/>
    <w:rsid w:val="00A91DEA"/>
    <w:rsid w:val="00A91E98"/>
    <w:rsid w:val="00A9248C"/>
    <w:rsid w:val="00A92884"/>
    <w:rsid w:val="00A928EF"/>
    <w:rsid w:val="00A92A85"/>
    <w:rsid w:val="00A93379"/>
    <w:rsid w:val="00A9349A"/>
    <w:rsid w:val="00A9416B"/>
    <w:rsid w:val="00A9430E"/>
    <w:rsid w:val="00A95AAF"/>
    <w:rsid w:val="00A95C22"/>
    <w:rsid w:val="00A9704C"/>
    <w:rsid w:val="00A97DCE"/>
    <w:rsid w:val="00AA1066"/>
    <w:rsid w:val="00AA10AF"/>
    <w:rsid w:val="00AA1A0E"/>
    <w:rsid w:val="00AA1D0C"/>
    <w:rsid w:val="00AA1D16"/>
    <w:rsid w:val="00AA1D19"/>
    <w:rsid w:val="00AA1E9A"/>
    <w:rsid w:val="00AA21D1"/>
    <w:rsid w:val="00AA256C"/>
    <w:rsid w:val="00AA269A"/>
    <w:rsid w:val="00AA2A55"/>
    <w:rsid w:val="00AA2CF8"/>
    <w:rsid w:val="00AA3557"/>
    <w:rsid w:val="00AA3B56"/>
    <w:rsid w:val="00AA4041"/>
    <w:rsid w:val="00AA4051"/>
    <w:rsid w:val="00AA4439"/>
    <w:rsid w:val="00AA4503"/>
    <w:rsid w:val="00AA4623"/>
    <w:rsid w:val="00AA4C05"/>
    <w:rsid w:val="00AA5107"/>
    <w:rsid w:val="00AA5D65"/>
    <w:rsid w:val="00AA6293"/>
    <w:rsid w:val="00AA689A"/>
    <w:rsid w:val="00AA6A1B"/>
    <w:rsid w:val="00AA6A89"/>
    <w:rsid w:val="00AA7077"/>
    <w:rsid w:val="00AA7173"/>
    <w:rsid w:val="00AA7605"/>
    <w:rsid w:val="00AA7686"/>
    <w:rsid w:val="00AA7698"/>
    <w:rsid w:val="00AB014D"/>
    <w:rsid w:val="00AB05BE"/>
    <w:rsid w:val="00AB0BDC"/>
    <w:rsid w:val="00AB11BB"/>
    <w:rsid w:val="00AB1B39"/>
    <w:rsid w:val="00AB232E"/>
    <w:rsid w:val="00AB2761"/>
    <w:rsid w:val="00AB3372"/>
    <w:rsid w:val="00AB43AE"/>
    <w:rsid w:val="00AB485D"/>
    <w:rsid w:val="00AB494A"/>
    <w:rsid w:val="00AB4BE0"/>
    <w:rsid w:val="00AB5739"/>
    <w:rsid w:val="00AB5A9E"/>
    <w:rsid w:val="00AB5AE5"/>
    <w:rsid w:val="00AB626B"/>
    <w:rsid w:val="00AB67B6"/>
    <w:rsid w:val="00AB6839"/>
    <w:rsid w:val="00AB6916"/>
    <w:rsid w:val="00AB76E0"/>
    <w:rsid w:val="00AB77B7"/>
    <w:rsid w:val="00AC003A"/>
    <w:rsid w:val="00AC0289"/>
    <w:rsid w:val="00AC061F"/>
    <w:rsid w:val="00AC06A2"/>
    <w:rsid w:val="00AC1434"/>
    <w:rsid w:val="00AC2F3F"/>
    <w:rsid w:val="00AC3313"/>
    <w:rsid w:val="00AC358C"/>
    <w:rsid w:val="00AC39EF"/>
    <w:rsid w:val="00AC435F"/>
    <w:rsid w:val="00AC43BB"/>
    <w:rsid w:val="00AC4929"/>
    <w:rsid w:val="00AC51E8"/>
    <w:rsid w:val="00AC528F"/>
    <w:rsid w:val="00AC5B51"/>
    <w:rsid w:val="00AC7065"/>
    <w:rsid w:val="00AC7246"/>
    <w:rsid w:val="00AC7DE4"/>
    <w:rsid w:val="00AD01DC"/>
    <w:rsid w:val="00AD027D"/>
    <w:rsid w:val="00AD0403"/>
    <w:rsid w:val="00AD09AB"/>
    <w:rsid w:val="00AD0B65"/>
    <w:rsid w:val="00AD0D74"/>
    <w:rsid w:val="00AD1358"/>
    <w:rsid w:val="00AD1791"/>
    <w:rsid w:val="00AD18F7"/>
    <w:rsid w:val="00AD1FE0"/>
    <w:rsid w:val="00AD21FF"/>
    <w:rsid w:val="00AD220E"/>
    <w:rsid w:val="00AD2A43"/>
    <w:rsid w:val="00AD3733"/>
    <w:rsid w:val="00AD3856"/>
    <w:rsid w:val="00AD3BBD"/>
    <w:rsid w:val="00AD42B6"/>
    <w:rsid w:val="00AD479D"/>
    <w:rsid w:val="00AD481D"/>
    <w:rsid w:val="00AD5362"/>
    <w:rsid w:val="00AD551B"/>
    <w:rsid w:val="00AD58A7"/>
    <w:rsid w:val="00AD5CDD"/>
    <w:rsid w:val="00AD5FCE"/>
    <w:rsid w:val="00AD606A"/>
    <w:rsid w:val="00AD6527"/>
    <w:rsid w:val="00AD68F4"/>
    <w:rsid w:val="00AD6AC4"/>
    <w:rsid w:val="00AD6D0D"/>
    <w:rsid w:val="00AD6FAC"/>
    <w:rsid w:val="00AD746E"/>
    <w:rsid w:val="00AD7ABA"/>
    <w:rsid w:val="00AD7AF0"/>
    <w:rsid w:val="00AD7E1B"/>
    <w:rsid w:val="00AD7EB4"/>
    <w:rsid w:val="00AE00B6"/>
    <w:rsid w:val="00AE0454"/>
    <w:rsid w:val="00AE0554"/>
    <w:rsid w:val="00AE06CC"/>
    <w:rsid w:val="00AE0EF9"/>
    <w:rsid w:val="00AE125C"/>
    <w:rsid w:val="00AE17DC"/>
    <w:rsid w:val="00AE182D"/>
    <w:rsid w:val="00AE18D6"/>
    <w:rsid w:val="00AE1F36"/>
    <w:rsid w:val="00AE1F40"/>
    <w:rsid w:val="00AE20CC"/>
    <w:rsid w:val="00AE2BB9"/>
    <w:rsid w:val="00AE3897"/>
    <w:rsid w:val="00AE3CCC"/>
    <w:rsid w:val="00AE3F3F"/>
    <w:rsid w:val="00AE431C"/>
    <w:rsid w:val="00AE4F0D"/>
    <w:rsid w:val="00AE50A0"/>
    <w:rsid w:val="00AE56C9"/>
    <w:rsid w:val="00AE67A3"/>
    <w:rsid w:val="00AE6F83"/>
    <w:rsid w:val="00AE7563"/>
    <w:rsid w:val="00AE75D0"/>
    <w:rsid w:val="00AE7731"/>
    <w:rsid w:val="00AE7DE6"/>
    <w:rsid w:val="00AF00FA"/>
    <w:rsid w:val="00AF055D"/>
    <w:rsid w:val="00AF0FDC"/>
    <w:rsid w:val="00AF102C"/>
    <w:rsid w:val="00AF132F"/>
    <w:rsid w:val="00AF1C35"/>
    <w:rsid w:val="00AF204C"/>
    <w:rsid w:val="00AF3639"/>
    <w:rsid w:val="00AF3B27"/>
    <w:rsid w:val="00AF4190"/>
    <w:rsid w:val="00AF449C"/>
    <w:rsid w:val="00AF4ADA"/>
    <w:rsid w:val="00AF4F5E"/>
    <w:rsid w:val="00AF5024"/>
    <w:rsid w:val="00AF5131"/>
    <w:rsid w:val="00AF525C"/>
    <w:rsid w:val="00AF5629"/>
    <w:rsid w:val="00AF6C60"/>
    <w:rsid w:val="00AF6ECE"/>
    <w:rsid w:val="00AF7202"/>
    <w:rsid w:val="00AF7BDC"/>
    <w:rsid w:val="00AF7D19"/>
    <w:rsid w:val="00AF7D42"/>
    <w:rsid w:val="00AF7D4C"/>
    <w:rsid w:val="00B0035D"/>
    <w:rsid w:val="00B008A0"/>
    <w:rsid w:val="00B009C8"/>
    <w:rsid w:val="00B009E6"/>
    <w:rsid w:val="00B01482"/>
    <w:rsid w:val="00B01616"/>
    <w:rsid w:val="00B0207A"/>
    <w:rsid w:val="00B02DB7"/>
    <w:rsid w:val="00B03274"/>
    <w:rsid w:val="00B04006"/>
    <w:rsid w:val="00B041BA"/>
    <w:rsid w:val="00B0430F"/>
    <w:rsid w:val="00B04E11"/>
    <w:rsid w:val="00B04E2A"/>
    <w:rsid w:val="00B04FE6"/>
    <w:rsid w:val="00B055B7"/>
    <w:rsid w:val="00B05AD0"/>
    <w:rsid w:val="00B06363"/>
    <w:rsid w:val="00B06549"/>
    <w:rsid w:val="00B06C4F"/>
    <w:rsid w:val="00B100E7"/>
    <w:rsid w:val="00B10265"/>
    <w:rsid w:val="00B10783"/>
    <w:rsid w:val="00B10BFF"/>
    <w:rsid w:val="00B1157E"/>
    <w:rsid w:val="00B1164D"/>
    <w:rsid w:val="00B11CDC"/>
    <w:rsid w:val="00B1225E"/>
    <w:rsid w:val="00B13BCF"/>
    <w:rsid w:val="00B14727"/>
    <w:rsid w:val="00B14BA8"/>
    <w:rsid w:val="00B14DCA"/>
    <w:rsid w:val="00B1597A"/>
    <w:rsid w:val="00B162DC"/>
    <w:rsid w:val="00B16A5C"/>
    <w:rsid w:val="00B16FB2"/>
    <w:rsid w:val="00B171BE"/>
    <w:rsid w:val="00B17A4F"/>
    <w:rsid w:val="00B17DCC"/>
    <w:rsid w:val="00B17F7B"/>
    <w:rsid w:val="00B20A3F"/>
    <w:rsid w:val="00B20A99"/>
    <w:rsid w:val="00B20B8A"/>
    <w:rsid w:val="00B21267"/>
    <w:rsid w:val="00B21441"/>
    <w:rsid w:val="00B21982"/>
    <w:rsid w:val="00B21A7B"/>
    <w:rsid w:val="00B22159"/>
    <w:rsid w:val="00B22167"/>
    <w:rsid w:val="00B22289"/>
    <w:rsid w:val="00B22494"/>
    <w:rsid w:val="00B237DB"/>
    <w:rsid w:val="00B2403F"/>
    <w:rsid w:val="00B244BE"/>
    <w:rsid w:val="00B24B7E"/>
    <w:rsid w:val="00B25B3B"/>
    <w:rsid w:val="00B26230"/>
    <w:rsid w:val="00B2698E"/>
    <w:rsid w:val="00B274B9"/>
    <w:rsid w:val="00B27A59"/>
    <w:rsid w:val="00B301EF"/>
    <w:rsid w:val="00B302F7"/>
    <w:rsid w:val="00B30823"/>
    <w:rsid w:val="00B30AEC"/>
    <w:rsid w:val="00B30FE6"/>
    <w:rsid w:val="00B3170D"/>
    <w:rsid w:val="00B33AF6"/>
    <w:rsid w:val="00B33D9C"/>
    <w:rsid w:val="00B341E2"/>
    <w:rsid w:val="00B341FC"/>
    <w:rsid w:val="00B34454"/>
    <w:rsid w:val="00B34A48"/>
    <w:rsid w:val="00B34DBA"/>
    <w:rsid w:val="00B34E4F"/>
    <w:rsid w:val="00B34F0C"/>
    <w:rsid w:val="00B352DD"/>
    <w:rsid w:val="00B35810"/>
    <w:rsid w:val="00B35C02"/>
    <w:rsid w:val="00B35D13"/>
    <w:rsid w:val="00B361D5"/>
    <w:rsid w:val="00B36318"/>
    <w:rsid w:val="00B36A21"/>
    <w:rsid w:val="00B37002"/>
    <w:rsid w:val="00B37097"/>
    <w:rsid w:val="00B3759B"/>
    <w:rsid w:val="00B37C8E"/>
    <w:rsid w:val="00B4001C"/>
    <w:rsid w:val="00B400AF"/>
    <w:rsid w:val="00B40291"/>
    <w:rsid w:val="00B40784"/>
    <w:rsid w:val="00B4111A"/>
    <w:rsid w:val="00B412B6"/>
    <w:rsid w:val="00B4288C"/>
    <w:rsid w:val="00B4288F"/>
    <w:rsid w:val="00B42AB9"/>
    <w:rsid w:val="00B42EF0"/>
    <w:rsid w:val="00B4357F"/>
    <w:rsid w:val="00B437A0"/>
    <w:rsid w:val="00B44079"/>
    <w:rsid w:val="00B444CA"/>
    <w:rsid w:val="00B45213"/>
    <w:rsid w:val="00B45954"/>
    <w:rsid w:val="00B45967"/>
    <w:rsid w:val="00B45F0B"/>
    <w:rsid w:val="00B46A9C"/>
    <w:rsid w:val="00B46FD7"/>
    <w:rsid w:val="00B47272"/>
    <w:rsid w:val="00B472CB"/>
    <w:rsid w:val="00B47C07"/>
    <w:rsid w:val="00B50C62"/>
    <w:rsid w:val="00B513EB"/>
    <w:rsid w:val="00B5145C"/>
    <w:rsid w:val="00B51497"/>
    <w:rsid w:val="00B5189C"/>
    <w:rsid w:val="00B51EB7"/>
    <w:rsid w:val="00B51ECA"/>
    <w:rsid w:val="00B53C20"/>
    <w:rsid w:val="00B540E4"/>
    <w:rsid w:val="00B54236"/>
    <w:rsid w:val="00B54AC3"/>
    <w:rsid w:val="00B564C3"/>
    <w:rsid w:val="00B56B15"/>
    <w:rsid w:val="00B56B51"/>
    <w:rsid w:val="00B60026"/>
    <w:rsid w:val="00B6029B"/>
    <w:rsid w:val="00B60BA0"/>
    <w:rsid w:val="00B61502"/>
    <w:rsid w:val="00B61573"/>
    <w:rsid w:val="00B6166A"/>
    <w:rsid w:val="00B621D0"/>
    <w:rsid w:val="00B62AD8"/>
    <w:rsid w:val="00B6304A"/>
    <w:rsid w:val="00B63116"/>
    <w:rsid w:val="00B6359A"/>
    <w:rsid w:val="00B64322"/>
    <w:rsid w:val="00B6497A"/>
    <w:rsid w:val="00B64A9F"/>
    <w:rsid w:val="00B64CFF"/>
    <w:rsid w:val="00B65F9A"/>
    <w:rsid w:val="00B66626"/>
    <w:rsid w:val="00B66F59"/>
    <w:rsid w:val="00B67400"/>
    <w:rsid w:val="00B6756D"/>
    <w:rsid w:val="00B67892"/>
    <w:rsid w:val="00B70016"/>
    <w:rsid w:val="00B700E4"/>
    <w:rsid w:val="00B70398"/>
    <w:rsid w:val="00B707DF"/>
    <w:rsid w:val="00B71674"/>
    <w:rsid w:val="00B7180E"/>
    <w:rsid w:val="00B71DA0"/>
    <w:rsid w:val="00B72E3A"/>
    <w:rsid w:val="00B72EA8"/>
    <w:rsid w:val="00B7367E"/>
    <w:rsid w:val="00B73758"/>
    <w:rsid w:val="00B7428F"/>
    <w:rsid w:val="00B74516"/>
    <w:rsid w:val="00B7477D"/>
    <w:rsid w:val="00B74A5E"/>
    <w:rsid w:val="00B74F82"/>
    <w:rsid w:val="00B75C24"/>
    <w:rsid w:val="00B7605A"/>
    <w:rsid w:val="00B76E99"/>
    <w:rsid w:val="00B77672"/>
    <w:rsid w:val="00B77D0C"/>
    <w:rsid w:val="00B80329"/>
    <w:rsid w:val="00B80529"/>
    <w:rsid w:val="00B80D15"/>
    <w:rsid w:val="00B81A3A"/>
    <w:rsid w:val="00B81B40"/>
    <w:rsid w:val="00B81D4A"/>
    <w:rsid w:val="00B8244A"/>
    <w:rsid w:val="00B82AB3"/>
    <w:rsid w:val="00B82B63"/>
    <w:rsid w:val="00B82DE5"/>
    <w:rsid w:val="00B835F6"/>
    <w:rsid w:val="00B8376F"/>
    <w:rsid w:val="00B83E5C"/>
    <w:rsid w:val="00B84465"/>
    <w:rsid w:val="00B849C2"/>
    <w:rsid w:val="00B85B15"/>
    <w:rsid w:val="00B860BA"/>
    <w:rsid w:val="00B86384"/>
    <w:rsid w:val="00B86536"/>
    <w:rsid w:val="00B86D17"/>
    <w:rsid w:val="00B86DF6"/>
    <w:rsid w:val="00B87152"/>
    <w:rsid w:val="00B87255"/>
    <w:rsid w:val="00B87AE0"/>
    <w:rsid w:val="00B903FE"/>
    <w:rsid w:val="00B9112D"/>
    <w:rsid w:val="00B91824"/>
    <w:rsid w:val="00B91DF0"/>
    <w:rsid w:val="00B92104"/>
    <w:rsid w:val="00B9249E"/>
    <w:rsid w:val="00B924BE"/>
    <w:rsid w:val="00B9347E"/>
    <w:rsid w:val="00B936D7"/>
    <w:rsid w:val="00B9383D"/>
    <w:rsid w:val="00B93D6C"/>
    <w:rsid w:val="00B94077"/>
    <w:rsid w:val="00B94245"/>
    <w:rsid w:val="00B943FE"/>
    <w:rsid w:val="00B957EF"/>
    <w:rsid w:val="00B96516"/>
    <w:rsid w:val="00B96C14"/>
    <w:rsid w:val="00B96E61"/>
    <w:rsid w:val="00B97346"/>
    <w:rsid w:val="00BA0102"/>
    <w:rsid w:val="00BA0C35"/>
    <w:rsid w:val="00BA1685"/>
    <w:rsid w:val="00BA17BD"/>
    <w:rsid w:val="00BA1D35"/>
    <w:rsid w:val="00BA1E3F"/>
    <w:rsid w:val="00BA2494"/>
    <w:rsid w:val="00BA31AA"/>
    <w:rsid w:val="00BA3520"/>
    <w:rsid w:val="00BA39EE"/>
    <w:rsid w:val="00BA3D38"/>
    <w:rsid w:val="00BA43F7"/>
    <w:rsid w:val="00BA5493"/>
    <w:rsid w:val="00BA6017"/>
    <w:rsid w:val="00BA71B5"/>
    <w:rsid w:val="00BA7516"/>
    <w:rsid w:val="00BA7661"/>
    <w:rsid w:val="00BA77EF"/>
    <w:rsid w:val="00BA793D"/>
    <w:rsid w:val="00BA7BBD"/>
    <w:rsid w:val="00BA7F03"/>
    <w:rsid w:val="00BB01D4"/>
    <w:rsid w:val="00BB0B45"/>
    <w:rsid w:val="00BB0E11"/>
    <w:rsid w:val="00BB1143"/>
    <w:rsid w:val="00BB15AD"/>
    <w:rsid w:val="00BB19DF"/>
    <w:rsid w:val="00BB1D9F"/>
    <w:rsid w:val="00BB28C6"/>
    <w:rsid w:val="00BB2C88"/>
    <w:rsid w:val="00BB2EC7"/>
    <w:rsid w:val="00BB2FD8"/>
    <w:rsid w:val="00BB3F5E"/>
    <w:rsid w:val="00BB43B4"/>
    <w:rsid w:val="00BB44A8"/>
    <w:rsid w:val="00BB4EE5"/>
    <w:rsid w:val="00BB6236"/>
    <w:rsid w:val="00BB6377"/>
    <w:rsid w:val="00BB664F"/>
    <w:rsid w:val="00BB6989"/>
    <w:rsid w:val="00BB6B6F"/>
    <w:rsid w:val="00BB7F86"/>
    <w:rsid w:val="00BB7FED"/>
    <w:rsid w:val="00BC0C0F"/>
    <w:rsid w:val="00BC0CD8"/>
    <w:rsid w:val="00BC16B1"/>
    <w:rsid w:val="00BC1700"/>
    <w:rsid w:val="00BC2311"/>
    <w:rsid w:val="00BC2971"/>
    <w:rsid w:val="00BC2E03"/>
    <w:rsid w:val="00BC32D8"/>
    <w:rsid w:val="00BC39DD"/>
    <w:rsid w:val="00BC3BD1"/>
    <w:rsid w:val="00BC3C97"/>
    <w:rsid w:val="00BC4159"/>
    <w:rsid w:val="00BC437A"/>
    <w:rsid w:val="00BC46BE"/>
    <w:rsid w:val="00BC4A31"/>
    <w:rsid w:val="00BC52A6"/>
    <w:rsid w:val="00BC6175"/>
    <w:rsid w:val="00BC6285"/>
    <w:rsid w:val="00BC6763"/>
    <w:rsid w:val="00BC78E2"/>
    <w:rsid w:val="00BC78FA"/>
    <w:rsid w:val="00BC7D84"/>
    <w:rsid w:val="00BC7FF9"/>
    <w:rsid w:val="00BD0537"/>
    <w:rsid w:val="00BD0614"/>
    <w:rsid w:val="00BD09B9"/>
    <w:rsid w:val="00BD1600"/>
    <w:rsid w:val="00BD1793"/>
    <w:rsid w:val="00BD187C"/>
    <w:rsid w:val="00BD1C4F"/>
    <w:rsid w:val="00BD1F4E"/>
    <w:rsid w:val="00BD2038"/>
    <w:rsid w:val="00BD2662"/>
    <w:rsid w:val="00BD271F"/>
    <w:rsid w:val="00BD3494"/>
    <w:rsid w:val="00BD4068"/>
    <w:rsid w:val="00BD4B3D"/>
    <w:rsid w:val="00BD4D35"/>
    <w:rsid w:val="00BD59A0"/>
    <w:rsid w:val="00BD61E0"/>
    <w:rsid w:val="00BD63E5"/>
    <w:rsid w:val="00BD725C"/>
    <w:rsid w:val="00BD7627"/>
    <w:rsid w:val="00BD7A1F"/>
    <w:rsid w:val="00BE01EA"/>
    <w:rsid w:val="00BE0396"/>
    <w:rsid w:val="00BE0850"/>
    <w:rsid w:val="00BE188B"/>
    <w:rsid w:val="00BE2465"/>
    <w:rsid w:val="00BE264A"/>
    <w:rsid w:val="00BE26AE"/>
    <w:rsid w:val="00BE27FC"/>
    <w:rsid w:val="00BE28C4"/>
    <w:rsid w:val="00BE297E"/>
    <w:rsid w:val="00BE2996"/>
    <w:rsid w:val="00BE308E"/>
    <w:rsid w:val="00BE35CE"/>
    <w:rsid w:val="00BE3B26"/>
    <w:rsid w:val="00BE3B53"/>
    <w:rsid w:val="00BE459E"/>
    <w:rsid w:val="00BE46B8"/>
    <w:rsid w:val="00BE4A4E"/>
    <w:rsid w:val="00BE50E2"/>
    <w:rsid w:val="00BE71FD"/>
    <w:rsid w:val="00BE7F53"/>
    <w:rsid w:val="00BF0508"/>
    <w:rsid w:val="00BF0F95"/>
    <w:rsid w:val="00BF0FAB"/>
    <w:rsid w:val="00BF1233"/>
    <w:rsid w:val="00BF1607"/>
    <w:rsid w:val="00BF17C2"/>
    <w:rsid w:val="00BF1801"/>
    <w:rsid w:val="00BF18CE"/>
    <w:rsid w:val="00BF1AE6"/>
    <w:rsid w:val="00BF24A7"/>
    <w:rsid w:val="00BF26E2"/>
    <w:rsid w:val="00BF2F1A"/>
    <w:rsid w:val="00BF2F64"/>
    <w:rsid w:val="00BF2FA7"/>
    <w:rsid w:val="00BF318D"/>
    <w:rsid w:val="00BF3385"/>
    <w:rsid w:val="00BF3387"/>
    <w:rsid w:val="00BF352F"/>
    <w:rsid w:val="00BF38D6"/>
    <w:rsid w:val="00BF3BD2"/>
    <w:rsid w:val="00BF3F72"/>
    <w:rsid w:val="00BF3F7D"/>
    <w:rsid w:val="00BF40DC"/>
    <w:rsid w:val="00BF41EA"/>
    <w:rsid w:val="00BF4833"/>
    <w:rsid w:val="00BF522F"/>
    <w:rsid w:val="00BF5886"/>
    <w:rsid w:val="00BF5D89"/>
    <w:rsid w:val="00BF618A"/>
    <w:rsid w:val="00BF6EC3"/>
    <w:rsid w:val="00BF7139"/>
    <w:rsid w:val="00BF76F6"/>
    <w:rsid w:val="00BF7F3B"/>
    <w:rsid w:val="00C006BD"/>
    <w:rsid w:val="00C007DF"/>
    <w:rsid w:val="00C0119B"/>
    <w:rsid w:val="00C01482"/>
    <w:rsid w:val="00C01747"/>
    <w:rsid w:val="00C022EE"/>
    <w:rsid w:val="00C024EC"/>
    <w:rsid w:val="00C03175"/>
    <w:rsid w:val="00C0406B"/>
    <w:rsid w:val="00C04251"/>
    <w:rsid w:val="00C051DF"/>
    <w:rsid w:val="00C05530"/>
    <w:rsid w:val="00C05C53"/>
    <w:rsid w:val="00C05F15"/>
    <w:rsid w:val="00C0618F"/>
    <w:rsid w:val="00C0633F"/>
    <w:rsid w:val="00C0649B"/>
    <w:rsid w:val="00C066F4"/>
    <w:rsid w:val="00C067DB"/>
    <w:rsid w:val="00C0712A"/>
    <w:rsid w:val="00C0736C"/>
    <w:rsid w:val="00C07465"/>
    <w:rsid w:val="00C077F4"/>
    <w:rsid w:val="00C07D93"/>
    <w:rsid w:val="00C07ECA"/>
    <w:rsid w:val="00C106E4"/>
    <w:rsid w:val="00C1087C"/>
    <w:rsid w:val="00C10913"/>
    <w:rsid w:val="00C10BDA"/>
    <w:rsid w:val="00C10C74"/>
    <w:rsid w:val="00C10DC6"/>
    <w:rsid w:val="00C117A9"/>
    <w:rsid w:val="00C122C7"/>
    <w:rsid w:val="00C1231D"/>
    <w:rsid w:val="00C126D8"/>
    <w:rsid w:val="00C12779"/>
    <w:rsid w:val="00C12BAE"/>
    <w:rsid w:val="00C13087"/>
    <w:rsid w:val="00C134F3"/>
    <w:rsid w:val="00C13E0D"/>
    <w:rsid w:val="00C141B8"/>
    <w:rsid w:val="00C142B1"/>
    <w:rsid w:val="00C149C3"/>
    <w:rsid w:val="00C14A7F"/>
    <w:rsid w:val="00C14CAF"/>
    <w:rsid w:val="00C158FB"/>
    <w:rsid w:val="00C15A93"/>
    <w:rsid w:val="00C15BA8"/>
    <w:rsid w:val="00C15BC0"/>
    <w:rsid w:val="00C1610E"/>
    <w:rsid w:val="00C1619F"/>
    <w:rsid w:val="00C16354"/>
    <w:rsid w:val="00C17984"/>
    <w:rsid w:val="00C17B6F"/>
    <w:rsid w:val="00C17EA4"/>
    <w:rsid w:val="00C214A2"/>
    <w:rsid w:val="00C214E1"/>
    <w:rsid w:val="00C218A8"/>
    <w:rsid w:val="00C21C14"/>
    <w:rsid w:val="00C221DA"/>
    <w:rsid w:val="00C226BB"/>
    <w:rsid w:val="00C22A60"/>
    <w:rsid w:val="00C230BC"/>
    <w:rsid w:val="00C2450B"/>
    <w:rsid w:val="00C24634"/>
    <w:rsid w:val="00C24870"/>
    <w:rsid w:val="00C25CD9"/>
    <w:rsid w:val="00C25E54"/>
    <w:rsid w:val="00C26C8E"/>
    <w:rsid w:val="00C276BA"/>
    <w:rsid w:val="00C27B40"/>
    <w:rsid w:val="00C27FFE"/>
    <w:rsid w:val="00C30518"/>
    <w:rsid w:val="00C305CB"/>
    <w:rsid w:val="00C3072C"/>
    <w:rsid w:val="00C31448"/>
    <w:rsid w:val="00C317EE"/>
    <w:rsid w:val="00C31865"/>
    <w:rsid w:val="00C31B33"/>
    <w:rsid w:val="00C31E25"/>
    <w:rsid w:val="00C32178"/>
    <w:rsid w:val="00C32852"/>
    <w:rsid w:val="00C338D9"/>
    <w:rsid w:val="00C34037"/>
    <w:rsid w:val="00C34E0B"/>
    <w:rsid w:val="00C35666"/>
    <w:rsid w:val="00C3625B"/>
    <w:rsid w:val="00C36BE9"/>
    <w:rsid w:val="00C36E1E"/>
    <w:rsid w:val="00C370CB"/>
    <w:rsid w:val="00C37354"/>
    <w:rsid w:val="00C374DF"/>
    <w:rsid w:val="00C37811"/>
    <w:rsid w:val="00C37ACC"/>
    <w:rsid w:val="00C37B4D"/>
    <w:rsid w:val="00C40193"/>
    <w:rsid w:val="00C40B93"/>
    <w:rsid w:val="00C421C1"/>
    <w:rsid w:val="00C42D76"/>
    <w:rsid w:val="00C434CD"/>
    <w:rsid w:val="00C43512"/>
    <w:rsid w:val="00C439FE"/>
    <w:rsid w:val="00C44874"/>
    <w:rsid w:val="00C44D14"/>
    <w:rsid w:val="00C44D97"/>
    <w:rsid w:val="00C456CE"/>
    <w:rsid w:val="00C45B58"/>
    <w:rsid w:val="00C461C1"/>
    <w:rsid w:val="00C4651F"/>
    <w:rsid w:val="00C46532"/>
    <w:rsid w:val="00C46A27"/>
    <w:rsid w:val="00C46C40"/>
    <w:rsid w:val="00C47742"/>
    <w:rsid w:val="00C479EB"/>
    <w:rsid w:val="00C47B4D"/>
    <w:rsid w:val="00C47CFA"/>
    <w:rsid w:val="00C47D13"/>
    <w:rsid w:val="00C50161"/>
    <w:rsid w:val="00C50850"/>
    <w:rsid w:val="00C51046"/>
    <w:rsid w:val="00C51342"/>
    <w:rsid w:val="00C51995"/>
    <w:rsid w:val="00C51F10"/>
    <w:rsid w:val="00C520C5"/>
    <w:rsid w:val="00C520D2"/>
    <w:rsid w:val="00C520E4"/>
    <w:rsid w:val="00C52542"/>
    <w:rsid w:val="00C53016"/>
    <w:rsid w:val="00C53519"/>
    <w:rsid w:val="00C5374C"/>
    <w:rsid w:val="00C53A61"/>
    <w:rsid w:val="00C53B17"/>
    <w:rsid w:val="00C544F1"/>
    <w:rsid w:val="00C55C30"/>
    <w:rsid w:val="00C55DD2"/>
    <w:rsid w:val="00C565C4"/>
    <w:rsid w:val="00C56BAB"/>
    <w:rsid w:val="00C56EB1"/>
    <w:rsid w:val="00C574F9"/>
    <w:rsid w:val="00C5764F"/>
    <w:rsid w:val="00C57682"/>
    <w:rsid w:val="00C57E9B"/>
    <w:rsid w:val="00C60129"/>
    <w:rsid w:val="00C60319"/>
    <w:rsid w:val="00C603F0"/>
    <w:rsid w:val="00C6105E"/>
    <w:rsid w:val="00C611E5"/>
    <w:rsid w:val="00C618C3"/>
    <w:rsid w:val="00C618F3"/>
    <w:rsid w:val="00C6286A"/>
    <w:rsid w:val="00C635DF"/>
    <w:rsid w:val="00C63811"/>
    <w:rsid w:val="00C64779"/>
    <w:rsid w:val="00C64EBC"/>
    <w:rsid w:val="00C6545B"/>
    <w:rsid w:val="00C65CF6"/>
    <w:rsid w:val="00C65F58"/>
    <w:rsid w:val="00C66585"/>
    <w:rsid w:val="00C66D6C"/>
    <w:rsid w:val="00C66F3D"/>
    <w:rsid w:val="00C67301"/>
    <w:rsid w:val="00C6768C"/>
    <w:rsid w:val="00C700C1"/>
    <w:rsid w:val="00C703C9"/>
    <w:rsid w:val="00C704FF"/>
    <w:rsid w:val="00C70640"/>
    <w:rsid w:val="00C70E98"/>
    <w:rsid w:val="00C714AE"/>
    <w:rsid w:val="00C71ABC"/>
    <w:rsid w:val="00C722A1"/>
    <w:rsid w:val="00C72577"/>
    <w:rsid w:val="00C728DA"/>
    <w:rsid w:val="00C72F64"/>
    <w:rsid w:val="00C73380"/>
    <w:rsid w:val="00C73596"/>
    <w:rsid w:val="00C73649"/>
    <w:rsid w:val="00C7374B"/>
    <w:rsid w:val="00C73921"/>
    <w:rsid w:val="00C7477F"/>
    <w:rsid w:val="00C74FF0"/>
    <w:rsid w:val="00C7503F"/>
    <w:rsid w:val="00C754EA"/>
    <w:rsid w:val="00C75836"/>
    <w:rsid w:val="00C75D85"/>
    <w:rsid w:val="00C75EDC"/>
    <w:rsid w:val="00C766EF"/>
    <w:rsid w:val="00C7675F"/>
    <w:rsid w:val="00C76C8C"/>
    <w:rsid w:val="00C7743D"/>
    <w:rsid w:val="00C774EE"/>
    <w:rsid w:val="00C77D0D"/>
    <w:rsid w:val="00C77D7C"/>
    <w:rsid w:val="00C77E94"/>
    <w:rsid w:val="00C77F2C"/>
    <w:rsid w:val="00C77F3C"/>
    <w:rsid w:val="00C8047D"/>
    <w:rsid w:val="00C808A2"/>
    <w:rsid w:val="00C80D1C"/>
    <w:rsid w:val="00C80D8A"/>
    <w:rsid w:val="00C812F0"/>
    <w:rsid w:val="00C813C3"/>
    <w:rsid w:val="00C817B4"/>
    <w:rsid w:val="00C82370"/>
    <w:rsid w:val="00C82408"/>
    <w:rsid w:val="00C8277D"/>
    <w:rsid w:val="00C82A29"/>
    <w:rsid w:val="00C831EC"/>
    <w:rsid w:val="00C834EF"/>
    <w:rsid w:val="00C8388B"/>
    <w:rsid w:val="00C838BD"/>
    <w:rsid w:val="00C83922"/>
    <w:rsid w:val="00C83EAF"/>
    <w:rsid w:val="00C8443F"/>
    <w:rsid w:val="00C845A1"/>
    <w:rsid w:val="00C8502D"/>
    <w:rsid w:val="00C850F4"/>
    <w:rsid w:val="00C85497"/>
    <w:rsid w:val="00C86B03"/>
    <w:rsid w:val="00C86F0E"/>
    <w:rsid w:val="00C87458"/>
    <w:rsid w:val="00C87EB8"/>
    <w:rsid w:val="00C9030F"/>
    <w:rsid w:val="00C90724"/>
    <w:rsid w:val="00C9091F"/>
    <w:rsid w:val="00C90EEC"/>
    <w:rsid w:val="00C91974"/>
    <w:rsid w:val="00C91ABC"/>
    <w:rsid w:val="00C92108"/>
    <w:rsid w:val="00C93374"/>
    <w:rsid w:val="00C9346B"/>
    <w:rsid w:val="00C93825"/>
    <w:rsid w:val="00C93A4F"/>
    <w:rsid w:val="00C941E2"/>
    <w:rsid w:val="00C9434C"/>
    <w:rsid w:val="00C947E8"/>
    <w:rsid w:val="00C950CF"/>
    <w:rsid w:val="00C95708"/>
    <w:rsid w:val="00C96306"/>
    <w:rsid w:val="00C96B00"/>
    <w:rsid w:val="00C96B63"/>
    <w:rsid w:val="00C97627"/>
    <w:rsid w:val="00C97688"/>
    <w:rsid w:val="00CA0121"/>
    <w:rsid w:val="00CA017C"/>
    <w:rsid w:val="00CA05C6"/>
    <w:rsid w:val="00CA0BC0"/>
    <w:rsid w:val="00CA0CDE"/>
    <w:rsid w:val="00CA0DFA"/>
    <w:rsid w:val="00CA0F93"/>
    <w:rsid w:val="00CA2329"/>
    <w:rsid w:val="00CA2911"/>
    <w:rsid w:val="00CA309B"/>
    <w:rsid w:val="00CA32A9"/>
    <w:rsid w:val="00CA3AF0"/>
    <w:rsid w:val="00CA3B70"/>
    <w:rsid w:val="00CA4403"/>
    <w:rsid w:val="00CA49C6"/>
    <w:rsid w:val="00CA4DF4"/>
    <w:rsid w:val="00CA4FB2"/>
    <w:rsid w:val="00CA68F7"/>
    <w:rsid w:val="00CA6CB8"/>
    <w:rsid w:val="00CA77F6"/>
    <w:rsid w:val="00CA7DB2"/>
    <w:rsid w:val="00CB1B77"/>
    <w:rsid w:val="00CB2486"/>
    <w:rsid w:val="00CB4334"/>
    <w:rsid w:val="00CB462B"/>
    <w:rsid w:val="00CB4E6C"/>
    <w:rsid w:val="00CB4FF4"/>
    <w:rsid w:val="00CB5FB5"/>
    <w:rsid w:val="00CB65F1"/>
    <w:rsid w:val="00CB730C"/>
    <w:rsid w:val="00CB7AF6"/>
    <w:rsid w:val="00CB7F6C"/>
    <w:rsid w:val="00CC0265"/>
    <w:rsid w:val="00CC0A15"/>
    <w:rsid w:val="00CC0A92"/>
    <w:rsid w:val="00CC14FC"/>
    <w:rsid w:val="00CC1AF7"/>
    <w:rsid w:val="00CC2424"/>
    <w:rsid w:val="00CC2C08"/>
    <w:rsid w:val="00CC307A"/>
    <w:rsid w:val="00CC31C3"/>
    <w:rsid w:val="00CC4AD4"/>
    <w:rsid w:val="00CC4E2A"/>
    <w:rsid w:val="00CC5387"/>
    <w:rsid w:val="00CC580B"/>
    <w:rsid w:val="00CC5CA9"/>
    <w:rsid w:val="00CC6189"/>
    <w:rsid w:val="00CC64B9"/>
    <w:rsid w:val="00CC6511"/>
    <w:rsid w:val="00CC655C"/>
    <w:rsid w:val="00CC6BE5"/>
    <w:rsid w:val="00CC6C74"/>
    <w:rsid w:val="00CC7267"/>
    <w:rsid w:val="00CD0192"/>
    <w:rsid w:val="00CD0918"/>
    <w:rsid w:val="00CD1B76"/>
    <w:rsid w:val="00CD2865"/>
    <w:rsid w:val="00CD4A29"/>
    <w:rsid w:val="00CD5543"/>
    <w:rsid w:val="00CD5974"/>
    <w:rsid w:val="00CD5ADA"/>
    <w:rsid w:val="00CD6090"/>
    <w:rsid w:val="00CD6488"/>
    <w:rsid w:val="00CD66E7"/>
    <w:rsid w:val="00CD6719"/>
    <w:rsid w:val="00CD6B58"/>
    <w:rsid w:val="00CD6F5C"/>
    <w:rsid w:val="00CD7091"/>
    <w:rsid w:val="00CD7164"/>
    <w:rsid w:val="00CD72F9"/>
    <w:rsid w:val="00CD793F"/>
    <w:rsid w:val="00CE03B5"/>
    <w:rsid w:val="00CE03CC"/>
    <w:rsid w:val="00CE0765"/>
    <w:rsid w:val="00CE09AE"/>
    <w:rsid w:val="00CE0B39"/>
    <w:rsid w:val="00CE1905"/>
    <w:rsid w:val="00CE1CB2"/>
    <w:rsid w:val="00CE28F8"/>
    <w:rsid w:val="00CE2CC6"/>
    <w:rsid w:val="00CE34BF"/>
    <w:rsid w:val="00CE3605"/>
    <w:rsid w:val="00CE369B"/>
    <w:rsid w:val="00CE403C"/>
    <w:rsid w:val="00CE471B"/>
    <w:rsid w:val="00CE4A0A"/>
    <w:rsid w:val="00CE4B3D"/>
    <w:rsid w:val="00CE4EED"/>
    <w:rsid w:val="00CE4F69"/>
    <w:rsid w:val="00CE506A"/>
    <w:rsid w:val="00CE5305"/>
    <w:rsid w:val="00CE5D0A"/>
    <w:rsid w:val="00CE5F20"/>
    <w:rsid w:val="00CE60C5"/>
    <w:rsid w:val="00CE635E"/>
    <w:rsid w:val="00CE647E"/>
    <w:rsid w:val="00CE6822"/>
    <w:rsid w:val="00CE6857"/>
    <w:rsid w:val="00CE6DFC"/>
    <w:rsid w:val="00CE6F68"/>
    <w:rsid w:val="00CE766A"/>
    <w:rsid w:val="00CE77F5"/>
    <w:rsid w:val="00CE7B3B"/>
    <w:rsid w:val="00CF0669"/>
    <w:rsid w:val="00CF0CA2"/>
    <w:rsid w:val="00CF14B4"/>
    <w:rsid w:val="00CF1E68"/>
    <w:rsid w:val="00CF1FC4"/>
    <w:rsid w:val="00CF2326"/>
    <w:rsid w:val="00CF2559"/>
    <w:rsid w:val="00CF2C47"/>
    <w:rsid w:val="00CF3737"/>
    <w:rsid w:val="00CF430E"/>
    <w:rsid w:val="00CF471B"/>
    <w:rsid w:val="00CF4BC4"/>
    <w:rsid w:val="00CF4FAE"/>
    <w:rsid w:val="00CF5096"/>
    <w:rsid w:val="00CF5D1F"/>
    <w:rsid w:val="00CF5ECF"/>
    <w:rsid w:val="00CF7154"/>
    <w:rsid w:val="00D000B5"/>
    <w:rsid w:val="00D002A6"/>
    <w:rsid w:val="00D00472"/>
    <w:rsid w:val="00D005A7"/>
    <w:rsid w:val="00D006CD"/>
    <w:rsid w:val="00D0087E"/>
    <w:rsid w:val="00D00DB8"/>
    <w:rsid w:val="00D014D0"/>
    <w:rsid w:val="00D01AA2"/>
    <w:rsid w:val="00D01D52"/>
    <w:rsid w:val="00D01F62"/>
    <w:rsid w:val="00D027E6"/>
    <w:rsid w:val="00D02811"/>
    <w:rsid w:val="00D0291C"/>
    <w:rsid w:val="00D02CB5"/>
    <w:rsid w:val="00D02F51"/>
    <w:rsid w:val="00D0307E"/>
    <w:rsid w:val="00D03CDD"/>
    <w:rsid w:val="00D04784"/>
    <w:rsid w:val="00D04B24"/>
    <w:rsid w:val="00D05D91"/>
    <w:rsid w:val="00D05DE3"/>
    <w:rsid w:val="00D062B0"/>
    <w:rsid w:val="00D06C90"/>
    <w:rsid w:val="00D06F67"/>
    <w:rsid w:val="00D0700C"/>
    <w:rsid w:val="00D076BF"/>
    <w:rsid w:val="00D07AF1"/>
    <w:rsid w:val="00D07FFD"/>
    <w:rsid w:val="00D10052"/>
    <w:rsid w:val="00D108B4"/>
    <w:rsid w:val="00D10ED8"/>
    <w:rsid w:val="00D110E5"/>
    <w:rsid w:val="00D1122D"/>
    <w:rsid w:val="00D11241"/>
    <w:rsid w:val="00D114E3"/>
    <w:rsid w:val="00D11B43"/>
    <w:rsid w:val="00D11E3F"/>
    <w:rsid w:val="00D11E7E"/>
    <w:rsid w:val="00D1209C"/>
    <w:rsid w:val="00D12287"/>
    <w:rsid w:val="00D1238A"/>
    <w:rsid w:val="00D12802"/>
    <w:rsid w:val="00D13124"/>
    <w:rsid w:val="00D131FD"/>
    <w:rsid w:val="00D1334E"/>
    <w:rsid w:val="00D137B3"/>
    <w:rsid w:val="00D140F5"/>
    <w:rsid w:val="00D1488F"/>
    <w:rsid w:val="00D14B66"/>
    <w:rsid w:val="00D14CE3"/>
    <w:rsid w:val="00D15005"/>
    <w:rsid w:val="00D15375"/>
    <w:rsid w:val="00D15C98"/>
    <w:rsid w:val="00D16572"/>
    <w:rsid w:val="00D170C0"/>
    <w:rsid w:val="00D17B8E"/>
    <w:rsid w:val="00D17C0C"/>
    <w:rsid w:val="00D17DD1"/>
    <w:rsid w:val="00D20039"/>
    <w:rsid w:val="00D20537"/>
    <w:rsid w:val="00D20914"/>
    <w:rsid w:val="00D21088"/>
    <w:rsid w:val="00D21402"/>
    <w:rsid w:val="00D21EF2"/>
    <w:rsid w:val="00D21F11"/>
    <w:rsid w:val="00D21FFB"/>
    <w:rsid w:val="00D22B3C"/>
    <w:rsid w:val="00D231C8"/>
    <w:rsid w:val="00D23375"/>
    <w:rsid w:val="00D240B0"/>
    <w:rsid w:val="00D2449B"/>
    <w:rsid w:val="00D25716"/>
    <w:rsid w:val="00D2676B"/>
    <w:rsid w:val="00D269B7"/>
    <w:rsid w:val="00D274D3"/>
    <w:rsid w:val="00D3182A"/>
    <w:rsid w:val="00D32514"/>
    <w:rsid w:val="00D32C06"/>
    <w:rsid w:val="00D32DF1"/>
    <w:rsid w:val="00D330CA"/>
    <w:rsid w:val="00D33A88"/>
    <w:rsid w:val="00D3423B"/>
    <w:rsid w:val="00D34326"/>
    <w:rsid w:val="00D348D0"/>
    <w:rsid w:val="00D349AF"/>
    <w:rsid w:val="00D34B1A"/>
    <w:rsid w:val="00D34D24"/>
    <w:rsid w:val="00D34DA3"/>
    <w:rsid w:val="00D35D46"/>
    <w:rsid w:val="00D35F5F"/>
    <w:rsid w:val="00D36529"/>
    <w:rsid w:val="00D36741"/>
    <w:rsid w:val="00D37178"/>
    <w:rsid w:val="00D37487"/>
    <w:rsid w:val="00D3765F"/>
    <w:rsid w:val="00D377B7"/>
    <w:rsid w:val="00D37D45"/>
    <w:rsid w:val="00D403D7"/>
    <w:rsid w:val="00D40A8E"/>
    <w:rsid w:val="00D40E64"/>
    <w:rsid w:val="00D40E68"/>
    <w:rsid w:val="00D41119"/>
    <w:rsid w:val="00D41826"/>
    <w:rsid w:val="00D41A70"/>
    <w:rsid w:val="00D41B6D"/>
    <w:rsid w:val="00D43187"/>
    <w:rsid w:val="00D43A99"/>
    <w:rsid w:val="00D4407A"/>
    <w:rsid w:val="00D4488B"/>
    <w:rsid w:val="00D44B2E"/>
    <w:rsid w:val="00D44C96"/>
    <w:rsid w:val="00D45794"/>
    <w:rsid w:val="00D458EC"/>
    <w:rsid w:val="00D462C2"/>
    <w:rsid w:val="00D47248"/>
    <w:rsid w:val="00D474F6"/>
    <w:rsid w:val="00D47544"/>
    <w:rsid w:val="00D47C15"/>
    <w:rsid w:val="00D50240"/>
    <w:rsid w:val="00D512B8"/>
    <w:rsid w:val="00D51506"/>
    <w:rsid w:val="00D527F7"/>
    <w:rsid w:val="00D53608"/>
    <w:rsid w:val="00D537A5"/>
    <w:rsid w:val="00D539CC"/>
    <w:rsid w:val="00D53C9F"/>
    <w:rsid w:val="00D54281"/>
    <w:rsid w:val="00D54323"/>
    <w:rsid w:val="00D54769"/>
    <w:rsid w:val="00D54AC9"/>
    <w:rsid w:val="00D558EC"/>
    <w:rsid w:val="00D55F34"/>
    <w:rsid w:val="00D5727C"/>
    <w:rsid w:val="00D60577"/>
    <w:rsid w:val="00D60604"/>
    <w:rsid w:val="00D60A8D"/>
    <w:rsid w:val="00D61030"/>
    <w:rsid w:val="00D61609"/>
    <w:rsid w:val="00D62421"/>
    <w:rsid w:val="00D6283E"/>
    <w:rsid w:val="00D6299A"/>
    <w:rsid w:val="00D63654"/>
    <w:rsid w:val="00D638B0"/>
    <w:rsid w:val="00D63E66"/>
    <w:rsid w:val="00D64679"/>
    <w:rsid w:val="00D64BE2"/>
    <w:rsid w:val="00D64F1B"/>
    <w:rsid w:val="00D658CD"/>
    <w:rsid w:val="00D65B37"/>
    <w:rsid w:val="00D6716B"/>
    <w:rsid w:val="00D672AD"/>
    <w:rsid w:val="00D6752D"/>
    <w:rsid w:val="00D7002B"/>
    <w:rsid w:val="00D710FC"/>
    <w:rsid w:val="00D71277"/>
    <w:rsid w:val="00D718F2"/>
    <w:rsid w:val="00D71CB9"/>
    <w:rsid w:val="00D721C2"/>
    <w:rsid w:val="00D728D4"/>
    <w:rsid w:val="00D729DC"/>
    <w:rsid w:val="00D7311B"/>
    <w:rsid w:val="00D7348E"/>
    <w:rsid w:val="00D73506"/>
    <w:rsid w:val="00D73BC5"/>
    <w:rsid w:val="00D74487"/>
    <w:rsid w:val="00D74ED2"/>
    <w:rsid w:val="00D7509F"/>
    <w:rsid w:val="00D75D57"/>
    <w:rsid w:val="00D76328"/>
    <w:rsid w:val="00D764EA"/>
    <w:rsid w:val="00D765E9"/>
    <w:rsid w:val="00D76A22"/>
    <w:rsid w:val="00D801D8"/>
    <w:rsid w:val="00D822D8"/>
    <w:rsid w:val="00D82550"/>
    <w:rsid w:val="00D826BD"/>
    <w:rsid w:val="00D83669"/>
    <w:rsid w:val="00D836BC"/>
    <w:rsid w:val="00D83878"/>
    <w:rsid w:val="00D838D0"/>
    <w:rsid w:val="00D85205"/>
    <w:rsid w:val="00D85234"/>
    <w:rsid w:val="00D8559F"/>
    <w:rsid w:val="00D856C3"/>
    <w:rsid w:val="00D857A0"/>
    <w:rsid w:val="00D8690D"/>
    <w:rsid w:val="00D87425"/>
    <w:rsid w:val="00D87B8C"/>
    <w:rsid w:val="00D87C9B"/>
    <w:rsid w:val="00D902F9"/>
    <w:rsid w:val="00D90C12"/>
    <w:rsid w:val="00D90FB5"/>
    <w:rsid w:val="00D91136"/>
    <w:rsid w:val="00D9197C"/>
    <w:rsid w:val="00D919EA"/>
    <w:rsid w:val="00D91B6A"/>
    <w:rsid w:val="00D92057"/>
    <w:rsid w:val="00D921CE"/>
    <w:rsid w:val="00D9280D"/>
    <w:rsid w:val="00D92AA0"/>
    <w:rsid w:val="00D9303F"/>
    <w:rsid w:val="00D93416"/>
    <w:rsid w:val="00D94453"/>
    <w:rsid w:val="00D94497"/>
    <w:rsid w:val="00D94A4D"/>
    <w:rsid w:val="00D94D2A"/>
    <w:rsid w:val="00D954FC"/>
    <w:rsid w:val="00D9592E"/>
    <w:rsid w:val="00D95DDC"/>
    <w:rsid w:val="00D9614E"/>
    <w:rsid w:val="00D965F3"/>
    <w:rsid w:val="00D967E3"/>
    <w:rsid w:val="00D96948"/>
    <w:rsid w:val="00D97168"/>
    <w:rsid w:val="00D9784C"/>
    <w:rsid w:val="00DA049E"/>
    <w:rsid w:val="00DA05A2"/>
    <w:rsid w:val="00DA0C67"/>
    <w:rsid w:val="00DA0DA3"/>
    <w:rsid w:val="00DA0EBC"/>
    <w:rsid w:val="00DA0FC1"/>
    <w:rsid w:val="00DA16F9"/>
    <w:rsid w:val="00DA1F5D"/>
    <w:rsid w:val="00DA2E79"/>
    <w:rsid w:val="00DA31A2"/>
    <w:rsid w:val="00DA3F79"/>
    <w:rsid w:val="00DA493C"/>
    <w:rsid w:val="00DA55E1"/>
    <w:rsid w:val="00DA5D7C"/>
    <w:rsid w:val="00DA6344"/>
    <w:rsid w:val="00DA70EE"/>
    <w:rsid w:val="00DA72E6"/>
    <w:rsid w:val="00DA7522"/>
    <w:rsid w:val="00DB02F3"/>
    <w:rsid w:val="00DB0774"/>
    <w:rsid w:val="00DB08E0"/>
    <w:rsid w:val="00DB0A47"/>
    <w:rsid w:val="00DB17C5"/>
    <w:rsid w:val="00DB1B41"/>
    <w:rsid w:val="00DB1C0F"/>
    <w:rsid w:val="00DB1EF2"/>
    <w:rsid w:val="00DB1FF7"/>
    <w:rsid w:val="00DB3401"/>
    <w:rsid w:val="00DB3571"/>
    <w:rsid w:val="00DB3A31"/>
    <w:rsid w:val="00DB3DC1"/>
    <w:rsid w:val="00DB428A"/>
    <w:rsid w:val="00DB44B7"/>
    <w:rsid w:val="00DB4E48"/>
    <w:rsid w:val="00DB4F03"/>
    <w:rsid w:val="00DB57C3"/>
    <w:rsid w:val="00DB5A7F"/>
    <w:rsid w:val="00DB5F0B"/>
    <w:rsid w:val="00DB6326"/>
    <w:rsid w:val="00DB6914"/>
    <w:rsid w:val="00DB6949"/>
    <w:rsid w:val="00DB6B72"/>
    <w:rsid w:val="00DB705B"/>
    <w:rsid w:val="00DB78CC"/>
    <w:rsid w:val="00DB7B09"/>
    <w:rsid w:val="00DB7BAE"/>
    <w:rsid w:val="00DC041E"/>
    <w:rsid w:val="00DC0513"/>
    <w:rsid w:val="00DC0D38"/>
    <w:rsid w:val="00DC1935"/>
    <w:rsid w:val="00DC199B"/>
    <w:rsid w:val="00DC2451"/>
    <w:rsid w:val="00DC2767"/>
    <w:rsid w:val="00DC28AF"/>
    <w:rsid w:val="00DC2D97"/>
    <w:rsid w:val="00DC2E16"/>
    <w:rsid w:val="00DC3082"/>
    <w:rsid w:val="00DC32DB"/>
    <w:rsid w:val="00DC32F2"/>
    <w:rsid w:val="00DC3780"/>
    <w:rsid w:val="00DC37B8"/>
    <w:rsid w:val="00DC3802"/>
    <w:rsid w:val="00DC38B5"/>
    <w:rsid w:val="00DC38BE"/>
    <w:rsid w:val="00DC3D37"/>
    <w:rsid w:val="00DC461C"/>
    <w:rsid w:val="00DC4818"/>
    <w:rsid w:val="00DC498D"/>
    <w:rsid w:val="00DC4C50"/>
    <w:rsid w:val="00DC4D0F"/>
    <w:rsid w:val="00DC4F0E"/>
    <w:rsid w:val="00DC5479"/>
    <w:rsid w:val="00DC5603"/>
    <w:rsid w:val="00DC56F9"/>
    <w:rsid w:val="00DC578C"/>
    <w:rsid w:val="00DC57FB"/>
    <w:rsid w:val="00DC5893"/>
    <w:rsid w:val="00DC677B"/>
    <w:rsid w:val="00DC6C30"/>
    <w:rsid w:val="00DC6D60"/>
    <w:rsid w:val="00DC7032"/>
    <w:rsid w:val="00DC71CB"/>
    <w:rsid w:val="00DC78E0"/>
    <w:rsid w:val="00DC7A4E"/>
    <w:rsid w:val="00DC7A9E"/>
    <w:rsid w:val="00DC7FDC"/>
    <w:rsid w:val="00DD0047"/>
    <w:rsid w:val="00DD0214"/>
    <w:rsid w:val="00DD0713"/>
    <w:rsid w:val="00DD088C"/>
    <w:rsid w:val="00DD08AA"/>
    <w:rsid w:val="00DD1152"/>
    <w:rsid w:val="00DD11FA"/>
    <w:rsid w:val="00DD1A4B"/>
    <w:rsid w:val="00DD1A8A"/>
    <w:rsid w:val="00DD2382"/>
    <w:rsid w:val="00DD2591"/>
    <w:rsid w:val="00DD2858"/>
    <w:rsid w:val="00DD3087"/>
    <w:rsid w:val="00DD34ED"/>
    <w:rsid w:val="00DD473D"/>
    <w:rsid w:val="00DD4F7E"/>
    <w:rsid w:val="00DD50B8"/>
    <w:rsid w:val="00DD549F"/>
    <w:rsid w:val="00DD588E"/>
    <w:rsid w:val="00DD5897"/>
    <w:rsid w:val="00DD5E7C"/>
    <w:rsid w:val="00DD6469"/>
    <w:rsid w:val="00DD6C21"/>
    <w:rsid w:val="00DD773F"/>
    <w:rsid w:val="00DD7F7F"/>
    <w:rsid w:val="00DE00BB"/>
    <w:rsid w:val="00DE0829"/>
    <w:rsid w:val="00DE0CBD"/>
    <w:rsid w:val="00DE111B"/>
    <w:rsid w:val="00DE1DAD"/>
    <w:rsid w:val="00DE1EAE"/>
    <w:rsid w:val="00DE2438"/>
    <w:rsid w:val="00DE243C"/>
    <w:rsid w:val="00DE2536"/>
    <w:rsid w:val="00DE282A"/>
    <w:rsid w:val="00DE3242"/>
    <w:rsid w:val="00DE4081"/>
    <w:rsid w:val="00DE452C"/>
    <w:rsid w:val="00DE4653"/>
    <w:rsid w:val="00DE4963"/>
    <w:rsid w:val="00DE4F6F"/>
    <w:rsid w:val="00DE5DA2"/>
    <w:rsid w:val="00DE5F09"/>
    <w:rsid w:val="00DE6ED2"/>
    <w:rsid w:val="00DE7749"/>
    <w:rsid w:val="00DE7EC4"/>
    <w:rsid w:val="00DF008C"/>
    <w:rsid w:val="00DF07CE"/>
    <w:rsid w:val="00DF093F"/>
    <w:rsid w:val="00DF094C"/>
    <w:rsid w:val="00DF0EAB"/>
    <w:rsid w:val="00DF0F89"/>
    <w:rsid w:val="00DF1366"/>
    <w:rsid w:val="00DF164A"/>
    <w:rsid w:val="00DF22BB"/>
    <w:rsid w:val="00DF29DF"/>
    <w:rsid w:val="00DF2B0B"/>
    <w:rsid w:val="00DF2D12"/>
    <w:rsid w:val="00DF3825"/>
    <w:rsid w:val="00DF3A9A"/>
    <w:rsid w:val="00DF51F2"/>
    <w:rsid w:val="00DF5601"/>
    <w:rsid w:val="00DF59DC"/>
    <w:rsid w:val="00DF59F8"/>
    <w:rsid w:val="00DF5BE0"/>
    <w:rsid w:val="00DF5CFB"/>
    <w:rsid w:val="00DF69D4"/>
    <w:rsid w:val="00DF6C13"/>
    <w:rsid w:val="00DF753D"/>
    <w:rsid w:val="00DF7FE0"/>
    <w:rsid w:val="00E00401"/>
    <w:rsid w:val="00E0040B"/>
    <w:rsid w:val="00E01624"/>
    <w:rsid w:val="00E01751"/>
    <w:rsid w:val="00E01AEF"/>
    <w:rsid w:val="00E01CA8"/>
    <w:rsid w:val="00E01DC9"/>
    <w:rsid w:val="00E02F41"/>
    <w:rsid w:val="00E030A3"/>
    <w:rsid w:val="00E037C9"/>
    <w:rsid w:val="00E03A2F"/>
    <w:rsid w:val="00E03D44"/>
    <w:rsid w:val="00E03F0A"/>
    <w:rsid w:val="00E03F18"/>
    <w:rsid w:val="00E042D3"/>
    <w:rsid w:val="00E0491E"/>
    <w:rsid w:val="00E04ABC"/>
    <w:rsid w:val="00E05766"/>
    <w:rsid w:val="00E057EE"/>
    <w:rsid w:val="00E05A73"/>
    <w:rsid w:val="00E05D45"/>
    <w:rsid w:val="00E05DA8"/>
    <w:rsid w:val="00E06163"/>
    <w:rsid w:val="00E06524"/>
    <w:rsid w:val="00E06872"/>
    <w:rsid w:val="00E06B97"/>
    <w:rsid w:val="00E0702B"/>
    <w:rsid w:val="00E074CD"/>
    <w:rsid w:val="00E07AA1"/>
    <w:rsid w:val="00E07D42"/>
    <w:rsid w:val="00E07FF7"/>
    <w:rsid w:val="00E10064"/>
    <w:rsid w:val="00E1100B"/>
    <w:rsid w:val="00E1116A"/>
    <w:rsid w:val="00E1154F"/>
    <w:rsid w:val="00E11B51"/>
    <w:rsid w:val="00E121BE"/>
    <w:rsid w:val="00E12510"/>
    <w:rsid w:val="00E13C26"/>
    <w:rsid w:val="00E14001"/>
    <w:rsid w:val="00E1516E"/>
    <w:rsid w:val="00E152A6"/>
    <w:rsid w:val="00E156B9"/>
    <w:rsid w:val="00E15719"/>
    <w:rsid w:val="00E16A10"/>
    <w:rsid w:val="00E16F63"/>
    <w:rsid w:val="00E170A1"/>
    <w:rsid w:val="00E17CD8"/>
    <w:rsid w:val="00E20447"/>
    <w:rsid w:val="00E20CAB"/>
    <w:rsid w:val="00E22157"/>
    <w:rsid w:val="00E22224"/>
    <w:rsid w:val="00E22520"/>
    <w:rsid w:val="00E2283A"/>
    <w:rsid w:val="00E2338F"/>
    <w:rsid w:val="00E2381E"/>
    <w:rsid w:val="00E238EF"/>
    <w:rsid w:val="00E25B40"/>
    <w:rsid w:val="00E2630F"/>
    <w:rsid w:val="00E26E76"/>
    <w:rsid w:val="00E275AA"/>
    <w:rsid w:val="00E30525"/>
    <w:rsid w:val="00E306E0"/>
    <w:rsid w:val="00E30B6E"/>
    <w:rsid w:val="00E31600"/>
    <w:rsid w:val="00E316EE"/>
    <w:rsid w:val="00E31EEA"/>
    <w:rsid w:val="00E3203A"/>
    <w:rsid w:val="00E3261F"/>
    <w:rsid w:val="00E3266C"/>
    <w:rsid w:val="00E326F2"/>
    <w:rsid w:val="00E32A5E"/>
    <w:rsid w:val="00E33360"/>
    <w:rsid w:val="00E33610"/>
    <w:rsid w:val="00E33AF2"/>
    <w:rsid w:val="00E33BC5"/>
    <w:rsid w:val="00E33C12"/>
    <w:rsid w:val="00E33CE8"/>
    <w:rsid w:val="00E342DA"/>
    <w:rsid w:val="00E34540"/>
    <w:rsid w:val="00E34701"/>
    <w:rsid w:val="00E357AA"/>
    <w:rsid w:val="00E37155"/>
    <w:rsid w:val="00E3766F"/>
    <w:rsid w:val="00E37CF3"/>
    <w:rsid w:val="00E40665"/>
    <w:rsid w:val="00E40C4E"/>
    <w:rsid w:val="00E40D92"/>
    <w:rsid w:val="00E40E2A"/>
    <w:rsid w:val="00E40E64"/>
    <w:rsid w:val="00E41206"/>
    <w:rsid w:val="00E41D1F"/>
    <w:rsid w:val="00E41E6B"/>
    <w:rsid w:val="00E4215C"/>
    <w:rsid w:val="00E42170"/>
    <w:rsid w:val="00E427AB"/>
    <w:rsid w:val="00E42D87"/>
    <w:rsid w:val="00E42DA4"/>
    <w:rsid w:val="00E42EE2"/>
    <w:rsid w:val="00E4345A"/>
    <w:rsid w:val="00E446FE"/>
    <w:rsid w:val="00E44C8A"/>
    <w:rsid w:val="00E45273"/>
    <w:rsid w:val="00E45380"/>
    <w:rsid w:val="00E457C2"/>
    <w:rsid w:val="00E45C1B"/>
    <w:rsid w:val="00E45E25"/>
    <w:rsid w:val="00E46612"/>
    <w:rsid w:val="00E46B00"/>
    <w:rsid w:val="00E46BB3"/>
    <w:rsid w:val="00E46D1B"/>
    <w:rsid w:val="00E471BF"/>
    <w:rsid w:val="00E4727F"/>
    <w:rsid w:val="00E47649"/>
    <w:rsid w:val="00E47941"/>
    <w:rsid w:val="00E47AE8"/>
    <w:rsid w:val="00E47D8F"/>
    <w:rsid w:val="00E500A9"/>
    <w:rsid w:val="00E513D2"/>
    <w:rsid w:val="00E51B57"/>
    <w:rsid w:val="00E51CBF"/>
    <w:rsid w:val="00E51DF8"/>
    <w:rsid w:val="00E51E50"/>
    <w:rsid w:val="00E52115"/>
    <w:rsid w:val="00E53097"/>
    <w:rsid w:val="00E53098"/>
    <w:rsid w:val="00E53D30"/>
    <w:rsid w:val="00E53E24"/>
    <w:rsid w:val="00E54477"/>
    <w:rsid w:val="00E5461E"/>
    <w:rsid w:val="00E54CE8"/>
    <w:rsid w:val="00E5519A"/>
    <w:rsid w:val="00E5589E"/>
    <w:rsid w:val="00E55BDE"/>
    <w:rsid w:val="00E56586"/>
    <w:rsid w:val="00E56926"/>
    <w:rsid w:val="00E56A66"/>
    <w:rsid w:val="00E56E27"/>
    <w:rsid w:val="00E571A7"/>
    <w:rsid w:val="00E57317"/>
    <w:rsid w:val="00E579CE"/>
    <w:rsid w:val="00E57DEB"/>
    <w:rsid w:val="00E601A3"/>
    <w:rsid w:val="00E60382"/>
    <w:rsid w:val="00E618F4"/>
    <w:rsid w:val="00E61AED"/>
    <w:rsid w:val="00E6256E"/>
    <w:rsid w:val="00E62668"/>
    <w:rsid w:val="00E627EF"/>
    <w:rsid w:val="00E628BB"/>
    <w:rsid w:val="00E62A9C"/>
    <w:rsid w:val="00E63E6B"/>
    <w:rsid w:val="00E647E1"/>
    <w:rsid w:val="00E64D09"/>
    <w:rsid w:val="00E65890"/>
    <w:rsid w:val="00E659BC"/>
    <w:rsid w:val="00E65F70"/>
    <w:rsid w:val="00E661BF"/>
    <w:rsid w:val="00E66256"/>
    <w:rsid w:val="00E6642F"/>
    <w:rsid w:val="00E66476"/>
    <w:rsid w:val="00E66735"/>
    <w:rsid w:val="00E667F5"/>
    <w:rsid w:val="00E66882"/>
    <w:rsid w:val="00E66BD7"/>
    <w:rsid w:val="00E701A0"/>
    <w:rsid w:val="00E702A0"/>
    <w:rsid w:val="00E7056E"/>
    <w:rsid w:val="00E70A2F"/>
    <w:rsid w:val="00E710AD"/>
    <w:rsid w:val="00E71413"/>
    <w:rsid w:val="00E714D9"/>
    <w:rsid w:val="00E71C18"/>
    <w:rsid w:val="00E7204C"/>
    <w:rsid w:val="00E725A3"/>
    <w:rsid w:val="00E72785"/>
    <w:rsid w:val="00E72AAD"/>
    <w:rsid w:val="00E7314B"/>
    <w:rsid w:val="00E731B3"/>
    <w:rsid w:val="00E733CB"/>
    <w:rsid w:val="00E735C3"/>
    <w:rsid w:val="00E73679"/>
    <w:rsid w:val="00E73B29"/>
    <w:rsid w:val="00E740B0"/>
    <w:rsid w:val="00E740D1"/>
    <w:rsid w:val="00E74703"/>
    <w:rsid w:val="00E7475C"/>
    <w:rsid w:val="00E74C1E"/>
    <w:rsid w:val="00E74F6A"/>
    <w:rsid w:val="00E7630B"/>
    <w:rsid w:val="00E76DF9"/>
    <w:rsid w:val="00E77413"/>
    <w:rsid w:val="00E7744F"/>
    <w:rsid w:val="00E778A4"/>
    <w:rsid w:val="00E778B5"/>
    <w:rsid w:val="00E77941"/>
    <w:rsid w:val="00E80784"/>
    <w:rsid w:val="00E81201"/>
    <w:rsid w:val="00E812AB"/>
    <w:rsid w:val="00E81775"/>
    <w:rsid w:val="00E81DD3"/>
    <w:rsid w:val="00E8203A"/>
    <w:rsid w:val="00E826FD"/>
    <w:rsid w:val="00E82824"/>
    <w:rsid w:val="00E82CB7"/>
    <w:rsid w:val="00E82F1A"/>
    <w:rsid w:val="00E82F8C"/>
    <w:rsid w:val="00E82FB2"/>
    <w:rsid w:val="00E8387A"/>
    <w:rsid w:val="00E838B6"/>
    <w:rsid w:val="00E83CDE"/>
    <w:rsid w:val="00E83D82"/>
    <w:rsid w:val="00E84008"/>
    <w:rsid w:val="00E846A1"/>
    <w:rsid w:val="00E84901"/>
    <w:rsid w:val="00E84D7E"/>
    <w:rsid w:val="00E84DB2"/>
    <w:rsid w:val="00E8531E"/>
    <w:rsid w:val="00E85728"/>
    <w:rsid w:val="00E86202"/>
    <w:rsid w:val="00E86599"/>
    <w:rsid w:val="00E86A11"/>
    <w:rsid w:val="00E86D35"/>
    <w:rsid w:val="00E87564"/>
    <w:rsid w:val="00E904CF"/>
    <w:rsid w:val="00E90D7C"/>
    <w:rsid w:val="00E91588"/>
    <w:rsid w:val="00E91F2C"/>
    <w:rsid w:val="00E91F9A"/>
    <w:rsid w:val="00E921D2"/>
    <w:rsid w:val="00E9257C"/>
    <w:rsid w:val="00E929BC"/>
    <w:rsid w:val="00E92C76"/>
    <w:rsid w:val="00E932ED"/>
    <w:rsid w:val="00E934B0"/>
    <w:rsid w:val="00E93878"/>
    <w:rsid w:val="00E93B91"/>
    <w:rsid w:val="00E94625"/>
    <w:rsid w:val="00E956D2"/>
    <w:rsid w:val="00E9625F"/>
    <w:rsid w:val="00E96556"/>
    <w:rsid w:val="00E96622"/>
    <w:rsid w:val="00E96700"/>
    <w:rsid w:val="00E96C91"/>
    <w:rsid w:val="00E97068"/>
    <w:rsid w:val="00E9736D"/>
    <w:rsid w:val="00E97753"/>
    <w:rsid w:val="00E97D9F"/>
    <w:rsid w:val="00EA021F"/>
    <w:rsid w:val="00EA0618"/>
    <w:rsid w:val="00EA0D0E"/>
    <w:rsid w:val="00EA197E"/>
    <w:rsid w:val="00EA21B1"/>
    <w:rsid w:val="00EA2415"/>
    <w:rsid w:val="00EA2937"/>
    <w:rsid w:val="00EA30BD"/>
    <w:rsid w:val="00EA328C"/>
    <w:rsid w:val="00EA32B8"/>
    <w:rsid w:val="00EA3879"/>
    <w:rsid w:val="00EA440A"/>
    <w:rsid w:val="00EA4428"/>
    <w:rsid w:val="00EA4BF8"/>
    <w:rsid w:val="00EA5078"/>
    <w:rsid w:val="00EA5348"/>
    <w:rsid w:val="00EA5C60"/>
    <w:rsid w:val="00EA60FF"/>
    <w:rsid w:val="00EA6F71"/>
    <w:rsid w:val="00EA74A5"/>
    <w:rsid w:val="00EA74DF"/>
    <w:rsid w:val="00EA7628"/>
    <w:rsid w:val="00EA7E8E"/>
    <w:rsid w:val="00EB0989"/>
    <w:rsid w:val="00EB11A8"/>
    <w:rsid w:val="00EB1CCE"/>
    <w:rsid w:val="00EB2590"/>
    <w:rsid w:val="00EB2616"/>
    <w:rsid w:val="00EB2F74"/>
    <w:rsid w:val="00EB35DE"/>
    <w:rsid w:val="00EB3609"/>
    <w:rsid w:val="00EB3B17"/>
    <w:rsid w:val="00EB3B76"/>
    <w:rsid w:val="00EB3E20"/>
    <w:rsid w:val="00EB3E23"/>
    <w:rsid w:val="00EB3F6B"/>
    <w:rsid w:val="00EB4454"/>
    <w:rsid w:val="00EB46CB"/>
    <w:rsid w:val="00EB49F4"/>
    <w:rsid w:val="00EB50BA"/>
    <w:rsid w:val="00EB7301"/>
    <w:rsid w:val="00EB7BCD"/>
    <w:rsid w:val="00EB7EE6"/>
    <w:rsid w:val="00EC008C"/>
    <w:rsid w:val="00EC0C91"/>
    <w:rsid w:val="00EC0D0C"/>
    <w:rsid w:val="00EC0D7A"/>
    <w:rsid w:val="00EC0F80"/>
    <w:rsid w:val="00EC11C5"/>
    <w:rsid w:val="00EC1AA5"/>
    <w:rsid w:val="00EC212C"/>
    <w:rsid w:val="00EC2292"/>
    <w:rsid w:val="00EC2A0D"/>
    <w:rsid w:val="00EC30F2"/>
    <w:rsid w:val="00EC32E7"/>
    <w:rsid w:val="00EC355D"/>
    <w:rsid w:val="00EC35FD"/>
    <w:rsid w:val="00EC3AFD"/>
    <w:rsid w:val="00EC4623"/>
    <w:rsid w:val="00EC4634"/>
    <w:rsid w:val="00EC481A"/>
    <w:rsid w:val="00EC4D09"/>
    <w:rsid w:val="00EC50C4"/>
    <w:rsid w:val="00EC5A6D"/>
    <w:rsid w:val="00EC5EDC"/>
    <w:rsid w:val="00EC68D0"/>
    <w:rsid w:val="00EC69EB"/>
    <w:rsid w:val="00EC6A74"/>
    <w:rsid w:val="00EC7357"/>
    <w:rsid w:val="00EC7803"/>
    <w:rsid w:val="00EC7A70"/>
    <w:rsid w:val="00EC7A8B"/>
    <w:rsid w:val="00EC7BB7"/>
    <w:rsid w:val="00ED02E0"/>
    <w:rsid w:val="00ED05D2"/>
    <w:rsid w:val="00ED08A2"/>
    <w:rsid w:val="00ED0983"/>
    <w:rsid w:val="00ED1D14"/>
    <w:rsid w:val="00ED21B3"/>
    <w:rsid w:val="00ED27A3"/>
    <w:rsid w:val="00ED37AB"/>
    <w:rsid w:val="00ED3ACF"/>
    <w:rsid w:val="00ED4001"/>
    <w:rsid w:val="00ED4B35"/>
    <w:rsid w:val="00ED51AA"/>
    <w:rsid w:val="00ED5456"/>
    <w:rsid w:val="00ED5538"/>
    <w:rsid w:val="00ED56EB"/>
    <w:rsid w:val="00ED56EC"/>
    <w:rsid w:val="00ED59F9"/>
    <w:rsid w:val="00ED61ED"/>
    <w:rsid w:val="00ED69A3"/>
    <w:rsid w:val="00ED6BD6"/>
    <w:rsid w:val="00ED6C3D"/>
    <w:rsid w:val="00ED6F9A"/>
    <w:rsid w:val="00ED70C9"/>
    <w:rsid w:val="00ED738F"/>
    <w:rsid w:val="00ED7907"/>
    <w:rsid w:val="00ED7BEA"/>
    <w:rsid w:val="00ED7E4B"/>
    <w:rsid w:val="00EE037D"/>
    <w:rsid w:val="00EE0FC8"/>
    <w:rsid w:val="00EE12E9"/>
    <w:rsid w:val="00EE14E5"/>
    <w:rsid w:val="00EE19B7"/>
    <w:rsid w:val="00EE2324"/>
    <w:rsid w:val="00EE2667"/>
    <w:rsid w:val="00EE2C1C"/>
    <w:rsid w:val="00EE2DA3"/>
    <w:rsid w:val="00EE37A5"/>
    <w:rsid w:val="00EE3D63"/>
    <w:rsid w:val="00EE4014"/>
    <w:rsid w:val="00EE45CC"/>
    <w:rsid w:val="00EE4839"/>
    <w:rsid w:val="00EE5CDB"/>
    <w:rsid w:val="00EE6BBB"/>
    <w:rsid w:val="00EE763C"/>
    <w:rsid w:val="00EE77C6"/>
    <w:rsid w:val="00EF165E"/>
    <w:rsid w:val="00EF1976"/>
    <w:rsid w:val="00EF21A4"/>
    <w:rsid w:val="00EF2284"/>
    <w:rsid w:val="00EF239F"/>
    <w:rsid w:val="00EF2B20"/>
    <w:rsid w:val="00EF2DEF"/>
    <w:rsid w:val="00EF3D5A"/>
    <w:rsid w:val="00EF42B5"/>
    <w:rsid w:val="00EF4533"/>
    <w:rsid w:val="00EF455A"/>
    <w:rsid w:val="00EF4862"/>
    <w:rsid w:val="00EF522E"/>
    <w:rsid w:val="00EF5392"/>
    <w:rsid w:val="00EF5771"/>
    <w:rsid w:val="00EF5A2D"/>
    <w:rsid w:val="00EF5B37"/>
    <w:rsid w:val="00EF65F4"/>
    <w:rsid w:val="00EF6886"/>
    <w:rsid w:val="00EF6B14"/>
    <w:rsid w:val="00EF7170"/>
    <w:rsid w:val="00EF7EEA"/>
    <w:rsid w:val="00F0044B"/>
    <w:rsid w:val="00F00F35"/>
    <w:rsid w:val="00F0188F"/>
    <w:rsid w:val="00F01AD3"/>
    <w:rsid w:val="00F01D56"/>
    <w:rsid w:val="00F0314F"/>
    <w:rsid w:val="00F0375B"/>
    <w:rsid w:val="00F042AD"/>
    <w:rsid w:val="00F044E5"/>
    <w:rsid w:val="00F04502"/>
    <w:rsid w:val="00F04972"/>
    <w:rsid w:val="00F04CDC"/>
    <w:rsid w:val="00F05325"/>
    <w:rsid w:val="00F059D2"/>
    <w:rsid w:val="00F05DFB"/>
    <w:rsid w:val="00F05FDC"/>
    <w:rsid w:val="00F06073"/>
    <w:rsid w:val="00F0617A"/>
    <w:rsid w:val="00F061FE"/>
    <w:rsid w:val="00F0629B"/>
    <w:rsid w:val="00F065B5"/>
    <w:rsid w:val="00F06708"/>
    <w:rsid w:val="00F0676E"/>
    <w:rsid w:val="00F06ECA"/>
    <w:rsid w:val="00F10038"/>
    <w:rsid w:val="00F106AA"/>
    <w:rsid w:val="00F10AC6"/>
    <w:rsid w:val="00F10F48"/>
    <w:rsid w:val="00F112D2"/>
    <w:rsid w:val="00F121B3"/>
    <w:rsid w:val="00F1251F"/>
    <w:rsid w:val="00F12FF1"/>
    <w:rsid w:val="00F13070"/>
    <w:rsid w:val="00F13265"/>
    <w:rsid w:val="00F13385"/>
    <w:rsid w:val="00F1388C"/>
    <w:rsid w:val="00F1395E"/>
    <w:rsid w:val="00F13F1A"/>
    <w:rsid w:val="00F14112"/>
    <w:rsid w:val="00F14578"/>
    <w:rsid w:val="00F146F8"/>
    <w:rsid w:val="00F14D3E"/>
    <w:rsid w:val="00F15629"/>
    <w:rsid w:val="00F159E3"/>
    <w:rsid w:val="00F15BFC"/>
    <w:rsid w:val="00F15DC4"/>
    <w:rsid w:val="00F163C1"/>
    <w:rsid w:val="00F16739"/>
    <w:rsid w:val="00F16C0E"/>
    <w:rsid w:val="00F2037B"/>
    <w:rsid w:val="00F2073D"/>
    <w:rsid w:val="00F20F06"/>
    <w:rsid w:val="00F20FA8"/>
    <w:rsid w:val="00F222F4"/>
    <w:rsid w:val="00F22BA5"/>
    <w:rsid w:val="00F22FC3"/>
    <w:rsid w:val="00F23F8B"/>
    <w:rsid w:val="00F24A7B"/>
    <w:rsid w:val="00F25EF5"/>
    <w:rsid w:val="00F25F70"/>
    <w:rsid w:val="00F2634F"/>
    <w:rsid w:val="00F26627"/>
    <w:rsid w:val="00F26FD3"/>
    <w:rsid w:val="00F27B11"/>
    <w:rsid w:val="00F307CF"/>
    <w:rsid w:val="00F30ACB"/>
    <w:rsid w:val="00F30E54"/>
    <w:rsid w:val="00F3149C"/>
    <w:rsid w:val="00F31A9C"/>
    <w:rsid w:val="00F31FC4"/>
    <w:rsid w:val="00F320B7"/>
    <w:rsid w:val="00F327F0"/>
    <w:rsid w:val="00F32C7A"/>
    <w:rsid w:val="00F33DB6"/>
    <w:rsid w:val="00F34135"/>
    <w:rsid w:val="00F341A0"/>
    <w:rsid w:val="00F343D8"/>
    <w:rsid w:val="00F343EB"/>
    <w:rsid w:val="00F34472"/>
    <w:rsid w:val="00F34D3D"/>
    <w:rsid w:val="00F3546C"/>
    <w:rsid w:val="00F35738"/>
    <w:rsid w:val="00F35E74"/>
    <w:rsid w:val="00F35F96"/>
    <w:rsid w:val="00F35FEC"/>
    <w:rsid w:val="00F36B32"/>
    <w:rsid w:val="00F3715C"/>
    <w:rsid w:val="00F37344"/>
    <w:rsid w:val="00F37656"/>
    <w:rsid w:val="00F37B75"/>
    <w:rsid w:val="00F41715"/>
    <w:rsid w:val="00F424FC"/>
    <w:rsid w:val="00F42B4D"/>
    <w:rsid w:val="00F43084"/>
    <w:rsid w:val="00F430CB"/>
    <w:rsid w:val="00F438BC"/>
    <w:rsid w:val="00F44FB4"/>
    <w:rsid w:val="00F45140"/>
    <w:rsid w:val="00F4525C"/>
    <w:rsid w:val="00F45496"/>
    <w:rsid w:val="00F45E92"/>
    <w:rsid w:val="00F476B1"/>
    <w:rsid w:val="00F47D00"/>
    <w:rsid w:val="00F47E35"/>
    <w:rsid w:val="00F47EE6"/>
    <w:rsid w:val="00F5016C"/>
    <w:rsid w:val="00F50599"/>
    <w:rsid w:val="00F50CA6"/>
    <w:rsid w:val="00F50ED5"/>
    <w:rsid w:val="00F50F4F"/>
    <w:rsid w:val="00F51089"/>
    <w:rsid w:val="00F523A8"/>
    <w:rsid w:val="00F52A5C"/>
    <w:rsid w:val="00F53B53"/>
    <w:rsid w:val="00F53B88"/>
    <w:rsid w:val="00F53C3A"/>
    <w:rsid w:val="00F53D69"/>
    <w:rsid w:val="00F53E55"/>
    <w:rsid w:val="00F54899"/>
    <w:rsid w:val="00F54901"/>
    <w:rsid w:val="00F54E28"/>
    <w:rsid w:val="00F552E1"/>
    <w:rsid w:val="00F55618"/>
    <w:rsid w:val="00F558BD"/>
    <w:rsid w:val="00F564B4"/>
    <w:rsid w:val="00F56AF6"/>
    <w:rsid w:val="00F5770A"/>
    <w:rsid w:val="00F57FDA"/>
    <w:rsid w:val="00F6047A"/>
    <w:rsid w:val="00F6073D"/>
    <w:rsid w:val="00F60CAB"/>
    <w:rsid w:val="00F60D4C"/>
    <w:rsid w:val="00F6106E"/>
    <w:rsid w:val="00F610C4"/>
    <w:rsid w:val="00F614B6"/>
    <w:rsid w:val="00F6171E"/>
    <w:rsid w:val="00F61808"/>
    <w:rsid w:val="00F61E5E"/>
    <w:rsid w:val="00F62D15"/>
    <w:rsid w:val="00F636D2"/>
    <w:rsid w:val="00F63AA6"/>
    <w:rsid w:val="00F65133"/>
    <w:rsid w:val="00F65B6D"/>
    <w:rsid w:val="00F65E84"/>
    <w:rsid w:val="00F666EF"/>
    <w:rsid w:val="00F66D2A"/>
    <w:rsid w:val="00F6753B"/>
    <w:rsid w:val="00F67705"/>
    <w:rsid w:val="00F67831"/>
    <w:rsid w:val="00F701E3"/>
    <w:rsid w:val="00F70835"/>
    <w:rsid w:val="00F70AC9"/>
    <w:rsid w:val="00F70E3A"/>
    <w:rsid w:val="00F70EA8"/>
    <w:rsid w:val="00F71157"/>
    <w:rsid w:val="00F711B1"/>
    <w:rsid w:val="00F71EB1"/>
    <w:rsid w:val="00F72BE2"/>
    <w:rsid w:val="00F73467"/>
    <w:rsid w:val="00F73C5D"/>
    <w:rsid w:val="00F74508"/>
    <w:rsid w:val="00F74BA0"/>
    <w:rsid w:val="00F74E59"/>
    <w:rsid w:val="00F750C8"/>
    <w:rsid w:val="00F756A1"/>
    <w:rsid w:val="00F75F99"/>
    <w:rsid w:val="00F76370"/>
    <w:rsid w:val="00F763E6"/>
    <w:rsid w:val="00F7686E"/>
    <w:rsid w:val="00F7689A"/>
    <w:rsid w:val="00F76DAB"/>
    <w:rsid w:val="00F772D6"/>
    <w:rsid w:val="00F77356"/>
    <w:rsid w:val="00F775F5"/>
    <w:rsid w:val="00F77A0B"/>
    <w:rsid w:val="00F80CCE"/>
    <w:rsid w:val="00F8198C"/>
    <w:rsid w:val="00F819B4"/>
    <w:rsid w:val="00F81E06"/>
    <w:rsid w:val="00F82787"/>
    <w:rsid w:val="00F82AE5"/>
    <w:rsid w:val="00F82E48"/>
    <w:rsid w:val="00F82FA1"/>
    <w:rsid w:val="00F83042"/>
    <w:rsid w:val="00F8351F"/>
    <w:rsid w:val="00F842F9"/>
    <w:rsid w:val="00F8484C"/>
    <w:rsid w:val="00F8506D"/>
    <w:rsid w:val="00F853AD"/>
    <w:rsid w:val="00F855C9"/>
    <w:rsid w:val="00F85B68"/>
    <w:rsid w:val="00F86B9B"/>
    <w:rsid w:val="00F86D33"/>
    <w:rsid w:val="00F86D66"/>
    <w:rsid w:val="00F87816"/>
    <w:rsid w:val="00F8782A"/>
    <w:rsid w:val="00F87CC5"/>
    <w:rsid w:val="00F87DC4"/>
    <w:rsid w:val="00F9017C"/>
    <w:rsid w:val="00F90233"/>
    <w:rsid w:val="00F90549"/>
    <w:rsid w:val="00F9065A"/>
    <w:rsid w:val="00F90B85"/>
    <w:rsid w:val="00F91BA0"/>
    <w:rsid w:val="00F91CA1"/>
    <w:rsid w:val="00F92511"/>
    <w:rsid w:val="00F92FA7"/>
    <w:rsid w:val="00F938C4"/>
    <w:rsid w:val="00F93D94"/>
    <w:rsid w:val="00F93F82"/>
    <w:rsid w:val="00F9459F"/>
    <w:rsid w:val="00F945F7"/>
    <w:rsid w:val="00F94E69"/>
    <w:rsid w:val="00F9541B"/>
    <w:rsid w:val="00F957E7"/>
    <w:rsid w:val="00F95A0E"/>
    <w:rsid w:val="00F9675E"/>
    <w:rsid w:val="00F96C9F"/>
    <w:rsid w:val="00F96CA1"/>
    <w:rsid w:val="00F96F1D"/>
    <w:rsid w:val="00F9703F"/>
    <w:rsid w:val="00F97721"/>
    <w:rsid w:val="00F97D8A"/>
    <w:rsid w:val="00FA0759"/>
    <w:rsid w:val="00FA0FEB"/>
    <w:rsid w:val="00FA10E6"/>
    <w:rsid w:val="00FA1656"/>
    <w:rsid w:val="00FA1C08"/>
    <w:rsid w:val="00FA2677"/>
    <w:rsid w:val="00FA3117"/>
    <w:rsid w:val="00FA3371"/>
    <w:rsid w:val="00FA3D68"/>
    <w:rsid w:val="00FA3E56"/>
    <w:rsid w:val="00FA424C"/>
    <w:rsid w:val="00FA48A1"/>
    <w:rsid w:val="00FA4DA6"/>
    <w:rsid w:val="00FA5998"/>
    <w:rsid w:val="00FA60A9"/>
    <w:rsid w:val="00FA6F6A"/>
    <w:rsid w:val="00FA7BAD"/>
    <w:rsid w:val="00FB0264"/>
    <w:rsid w:val="00FB0CD3"/>
    <w:rsid w:val="00FB177E"/>
    <w:rsid w:val="00FB1920"/>
    <w:rsid w:val="00FB1BB5"/>
    <w:rsid w:val="00FB1EFA"/>
    <w:rsid w:val="00FB2620"/>
    <w:rsid w:val="00FB2F32"/>
    <w:rsid w:val="00FB3A3A"/>
    <w:rsid w:val="00FB3F7E"/>
    <w:rsid w:val="00FB40FE"/>
    <w:rsid w:val="00FB4D06"/>
    <w:rsid w:val="00FB4EDE"/>
    <w:rsid w:val="00FB5AA5"/>
    <w:rsid w:val="00FB5D6E"/>
    <w:rsid w:val="00FB6B0B"/>
    <w:rsid w:val="00FB6EC3"/>
    <w:rsid w:val="00FB7DB8"/>
    <w:rsid w:val="00FC0B5A"/>
    <w:rsid w:val="00FC0E3C"/>
    <w:rsid w:val="00FC1491"/>
    <w:rsid w:val="00FC2F43"/>
    <w:rsid w:val="00FC2FFE"/>
    <w:rsid w:val="00FC32BC"/>
    <w:rsid w:val="00FC3924"/>
    <w:rsid w:val="00FC3E57"/>
    <w:rsid w:val="00FC494A"/>
    <w:rsid w:val="00FC497C"/>
    <w:rsid w:val="00FC4D9C"/>
    <w:rsid w:val="00FC4F51"/>
    <w:rsid w:val="00FC5581"/>
    <w:rsid w:val="00FC57E6"/>
    <w:rsid w:val="00FC5ADE"/>
    <w:rsid w:val="00FC6161"/>
    <w:rsid w:val="00FC6E81"/>
    <w:rsid w:val="00FC7A8A"/>
    <w:rsid w:val="00FC7D5F"/>
    <w:rsid w:val="00FD009A"/>
    <w:rsid w:val="00FD0334"/>
    <w:rsid w:val="00FD1146"/>
    <w:rsid w:val="00FD1D50"/>
    <w:rsid w:val="00FD259B"/>
    <w:rsid w:val="00FD2680"/>
    <w:rsid w:val="00FD2A13"/>
    <w:rsid w:val="00FD2A5F"/>
    <w:rsid w:val="00FD2D32"/>
    <w:rsid w:val="00FD3845"/>
    <w:rsid w:val="00FD3C6C"/>
    <w:rsid w:val="00FD402B"/>
    <w:rsid w:val="00FD4053"/>
    <w:rsid w:val="00FD40A8"/>
    <w:rsid w:val="00FD40AB"/>
    <w:rsid w:val="00FD46C4"/>
    <w:rsid w:val="00FD4860"/>
    <w:rsid w:val="00FD4A93"/>
    <w:rsid w:val="00FD4B7D"/>
    <w:rsid w:val="00FD5171"/>
    <w:rsid w:val="00FD529D"/>
    <w:rsid w:val="00FD556A"/>
    <w:rsid w:val="00FD5769"/>
    <w:rsid w:val="00FD59B9"/>
    <w:rsid w:val="00FD5DED"/>
    <w:rsid w:val="00FD5EDB"/>
    <w:rsid w:val="00FD6384"/>
    <w:rsid w:val="00FD64D7"/>
    <w:rsid w:val="00FD6632"/>
    <w:rsid w:val="00FD68C1"/>
    <w:rsid w:val="00FD69D6"/>
    <w:rsid w:val="00FD6AB6"/>
    <w:rsid w:val="00FD6C8D"/>
    <w:rsid w:val="00FD6CBB"/>
    <w:rsid w:val="00FD6D11"/>
    <w:rsid w:val="00FD6E81"/>
    <w:rsid w:val="00FD7E28"/>
    <w:rsid w:val="00FE01A6"/>
    <w:rsid w:val="00FE0233"/>
    <w:rsid w:val="00FE0630"/>
    <w:rsid w:val="00FE087D"/>
    <w:rsid w:val="00FE09D7"/>
    <w:rsid w:val="00FE15AD"/>
    <w:rsid w:val="00FE184A"/>
    <w:rsid w:val="00FE1F6C"/>
    <w:rsid w:val="00FE3167"/>
    <w:rsid w:val="00FE3282"/>
    <w:rsid w:val="00FE3A31"/>
    <w:rsid w:val="00FE3B9A"/>
    <w:rsid w:val="00FE3FD5"/>
    <w:rsid w:val="00FE4313"/>
    <w:rsid w:val="00FE4BFF"/>
    <w:rsid w:val="00FE4CD2"/>
    <w:rsid w:val="00FE5265"/>
    <w:rsid w:val="00FE582F"/>
    <w:rsid w:val="00FE5A40"/>
    <w:rsid w:val="00FE60E6"/>
    <w:rsid w:val="00FE6112"/>
    <w:rsid w:val="00FE65A6"/>
    <w:rsid w:val="00FE6742"/>
    <w:rsid w:val="00FE7101"/>
    <w:rsid w:val="00FE7750"/>
    <w:rsid w:val="00FE7B8C"/>
    <w:rsid w:val="00FE7C6E"/>
    <w:rsid w:val="00FF00E9"/>
    <w:rsid w:val="00FF0330"/>
    <w:rsid w:val="00FF0414"/>
    <w:rsid w:val="00FF0423"/>
    <w:rsid w:val="00FF04CA"/>
    <w:rsid w:val="00FF065F"/>
    <w:rsid w:val="00FF0C79"/>
    <w:rsid w:val="00FF167B"/>
    <w:rsid w:val="00FF2222"/>
    <w:rsid w:val="00FF25F7"/>
    <w:rsid w:val="00FF282B"/>
    <w:rsid w:val="00FF2972"/>
    <w:rsid w:val="00FF2C5D"/>
    <w:rsid w:val="00FF3DC2"/>
    <w:rsid w:val="00FF4627"/>
    <w:rsid w:val="00FF472E"/>
    <w:rsid w:val="00FF547A"/>
    <w:rsid w:val="00FF54EE"/>
    <w:rsid w:val="00FF5913"/>
    <w:rsid w:val="00FF5E96"/>
    <w:rsid w:val="00FF62C6"/>
    <w:rsid w:val="00FF6388"/>
    <w:rsid w:val="00FF649A"/>
    <w:rsid w:val="00FF68B6"/>
    <w:rsid w:val="00FF7781"/>
    <w:rsid w:val="01097B79"/>
    <w:rsid w:val="01342903"/>
    <w:rsid w:val="0137077E"/>
    <w:rsid w:val="01A625AB"/>
    <w:rsid w:val="01C960A0"/>
    <w:rsid w:val="01CB7B3A"/>
    <w:rsid w:val="01D37172"/>
    <w:rsid w:val="01D706C2"/>
    <w:rsid w:val="01F359CB"/>
    <w:rsid w:val="01FC5420"/>
    <w:rsid w:val="0214044A"/>
    <w:rsid w:val="02180C7E"/>
    <w:rsid w:val="02532284"/>
    <w:rsid w:val="02776BE2"/>
    <w:rsid w:val="027F799E"/>
    <w:rsid w:val="02A03C9D"/>
    <w:rsid w:val="02C95440"/>
    <w:rsid w:val="02CC171F"/>
    <w:rsid w:val="02D358E5"/>
    <w:rsid w:val="02D56624"/>
    <w:rsid w:val="02DD06B7"/>
    <w:rsid w:val="02E127C8"/>
    <w:rsid w:val="02ED6047"/>
    <w:rsid w:val="02FE29D2"/>
    <w:rsid w:val="03364C39"/>
    <w:rsid w:val="034A5744"/>
    <w:rsid w:val="03585DA0"/>
    <w:rsid w:val="035D2D41"/>
    <w:rsid w:val="036211E3"/>
    <w:rsid w:val="03824859"/>
    <w:rsid w:val="038C373E"/>
    <w:rsid w:val="03963ABA"/>
    <w:rsid w:val="039D7017"/>
    <w:rsid w:val="03BD15D0"/>
    <w:rsid w:val="03C439D8"/>
    <w:rsid w:val="03C71830"/>
    <w:rsid w:val="03EC6A64"/>
    <w:rsid w:val="03F04E00"/>
    <w:rsid w:val="04095F8D"/>
    <w:rsid w:val="04597A82"/>
    <w:rsid w:val="04796D38"/>
    <w:rsid w:val="04877F4F"/>
    <w:rsid w:val="04886BA4"/>
    <w:rsid w:val="04916893"/>
    <w:rsid w:val="04934D6A"/>
    <w:rsid w:val="04AB3ACC"/>
    <w:rsid w:val="04B41056"/>
    <w:rsid w:val="04B4790D"/>
    <w:rsid w:val="04BF71D4"/>
    <w:rsid w:val="04C26740"/>
    <w:rsid w:val="050E4D14"/>
    <w:rsid w:val="050E735A"/>
    <w:rsid w:val="0517575E"/>
    <w:rsid w:val="051A6227"/>
    <w:rsid w:val="051E617D"/>
    <w:rsid w:val="0529107D"/>
    <w:rsid w:val="05546B72"/>
    <w:rsid w:val="0559372E"/>
    <w:rsid w:val="056D51B2"/>
    <w:rsid w:val="05744540"/>
    <w:rsid w:val="057D53E6"/>
    <w:rsid w:val="05807ACB"/>
    <w:rsid w:val="05823857"/>
    <w:rsid w:val="059748DE"/>
    <w:rsid w:val="05A44ECC"/>
    <w:rsid w:val="05B54980"/>
    <w:rsid w:val="05C13974"/>
    <w:rsid w:val="05C86FFC"/>
    <w:rsid w:val="05E43321"/>
    <w:rsid w:val="05EE2C1D"/>
    <w:rsid w:val="05F466EA"/>
    <w:rsid w:val="06024E45"/>
    <w:rsid w:val="061D06DC"/>
    <w:rsid w:val="062F0F2B"/>
    <w:rsid w:val="06327C70"/>
    <w:rsid w:val="064F62FE"/>
    <w:rsid w:val="065300F1"/>
    <w:rsid w:val="066952C8"/>
    <w:rsid w:val="06792E74"/>
    <w:rsid w:val="067E5E2F"/>
    <w:rsid w:val="06816C78"/>
    <w:rsid w:val="06890293"/>
    <w:rsid w:val="06994ED8"/>
    <w:rsid w:val="06AA6C8B"/>
    <w:rsid w:val="06B35B88"/>
    <w:rsid w:val="06BB4AD0"/>
    <w:rsid w:val="06BE3393"/>
    <w:rsid w:val="06CB4160"/>
    <w:rsid w:val="06DB3915"/>
    <w:rsid w:val="06F8712F"/>
    <w:rsid w:val="07096A6A"/>
    <w:rsid w:val="07201331"/>
    <w:rsid w:val="07366F15"/>
    <w:rsid w:val="075E291E"/>
    <w:rsid w:val="077C323D"/>
    <w:rsid w:val="079A79E3"/>
    <w:rsid w:val="079E5FC9"/>
    <w:rsid w:val="07A36A8F"/>
    <w:rsid w:val="07B9146B"/>
    <w:rsid w:val="07D735F7"/>
    <w:rsid w:val="07D85670"/>
    <w:rsid w:val="07DD5954"/>
    <w:rsid w:val="07F43213"/>
    <w:rsid w:val="07F6630D"/>
    <w:rsid w:val="08064E1D"/>
    <w:rsid w:val="083E693B"/>
    <w:rsid w:val="085242F8"/>
    <w:rsid w:val="0853129E"/>
    <w:rsid w:val="085827EC"/>
    <w:rsid w:val="08644B70"/>
    <w:rsid w:val="086D6B12"/>
    <w:rsid w:val="08730321"/>
    <w:rsid w:val="0876712B"/>
    <w:rsid w:val="0883315A"/>
    <w:rsid w:val="08873A47"/>
    <w:rsid w:val="08B22272"/>
    <w:rsid w:val="08BC189C"/>
    <w:rsid w:val="08CA2372"/>
    <w:rsid w:val="08D27052"/>
    <w:rsid w:val="08FA0FEF"/>
    <w:rsid w:val="091075FA"/>
    <w:rsid w:val="09364165"/>
    <w:rsid w:val="095E086F"/>
    <w:rsid w:val="0970598A"/>
    <w:rsid w:val="09781144"/>
    <w:rsid w:val="09887789"/>
    <w:rsid w:val="09B50AD7"/>
    <w:rsid w:val="0A1A2592"/>
    <w:rsid w:val="0A362471"/>
    <w:rsid w:val="0A3B451B"/>
    <w:rsid w:val="0A432CAB"/>
    <w:rsid w:val="0A4B4837"/>
    <w:rsid w:val="0A5821F3"/>
    <w:rsid w:val="0A702FB0"/>
    <w:rsid w:val="0A907698"/>
    <w:rsid w:val="0AA578ED"/>
    <w:rsid w:val="0AB03C77"/>
    <w:rsid w:val="0AB221EC"/>
    <w:rsid w:val="0AB87C7B"/>
    <w:rsid w:val="0AC250B1"/>
    <w:rsid w:val="0AD20D0D"/>
    <w:rsid w:val="0AE517A4"/>
    <w:rsid w:val="0AF278F9"/>
    <w:rsid w:val="0B201A50"/>
    <w:rsid w:val="0B52613C"/>
    <w:rsid w:val="0B5B6073"/>
    <w:rsid w:val="0B6C6569"/>
    <w:rsid w:val="0B71221C"/>
    <w:rsid w:val="0B7B0FB9"/>
    <w:rsid w:val="0B7F178F"/>
    <w:rsid w:val="0B916CD0"/>
    <w:rsid w:val="0BA157E0"/>
    <w:rsid w:val="0BAA5CA2"/>
    <w:rsid w:val="0BAB7E89"/>
    <w:rsid w:val="0BD03300"/>
    <w:rsid w:val="0BE81026"/>
    <w:rsid w:val="0C0E082E"/>
    <w:rsid w:val="0C5267CD"/>
    <w:rsid w:val="0C5705EF"/>
    <w:rsid w:val="0C6874A9"/>
    <w:rsid w:val="0C7249B2"/>
    <w:rsid w:val="0C782A46"/>
    <w:rsid w:val="0C96436E"/>
    <w:rsid w:val="0CC41EE7"/>
    <w:rsid w:val="0CDC016B"/>
    <w:rsid w:val="0CDD0434"/>
    <w:rsid w:val="0CDF4BDD"/>
    <w:rsid w:val="0D1057E7"/>
    <w:rsid w:val="0D236E25"/>
    <w:rsid w:val="0D360803"/>
    <w:rsid w:val="0D3F7F5D"/>
    <w:rsid w:val="0D542184"/>
    <w:rsid w:val="0D5C1FB6"/>
    <w:rsid w:val="0D8C7158"/>
    <w:rsid w:val="0D8D7D5B"/>
    <w:rsid w:val="0D9720FC"/>
    <w:rsid w:val="0DA03F0C"/>
    <w:rsid w:val="0DA27C4A"/>
    <w:rsid w:val="0DAA40BE"/>
    <w:rsid w:val="0DB40520"/>
    <w:rsid w:val="0DE864CF"/>
    <w:rsid w:val="0DEB1C39"/>
    <w:rsid w:val="0DEE139E"/>
    <w:rsid w:val="0DF66254"/>
    <w:rsid w:val="0DFD107F"/>
    <w:rsid w:val="0E0811F0"/>
    <w:rsid w:val="0E091DAC"/>
    <w:rsid w:val="0E2735FD"/>
    <w:rsid w:val="0E537E52"/>
    <w:rsid w:val="0E753856"/>
    <w:rsid w:val="0E8575A6"/>
    <w:rsid w:val="0E85774E"/>
    <w:rsid w:val="0E996540"/>
    <w:rsid w:val="0EA77F3C"/>
    <w:rsid w:val="0EAE6781"/>
    <w:rsid w:val="0EB43D1A"/>
    <w:rsid w:val="0EBC76C4"/>
    <w:rsid w:val="0EDC1F41"/>
    <w:rsid w:val="0EED213A"/>
    <w:rsid w:val="0F03493E"/>
    <w:rsid w:val="0F090260"/>
    <w:rsid w:val="0F3635F3"/>
    <w:rsid w:val="0F7A75AE"/>
    <w:rsid w:val="0F881AD4"/>
    <w:rsid w:val="0F8C662B"/>
    <w:rsid w:val="0F9C6413"/>
    <w:rsid w:val="0FA059CA"/>
    <w:rsid w:val="0FB23173"/>
    <w:rsid w:val="0FB33AF6"/>
    <w:rsid w:val="0FB5541F"/>
    <w:rsid w:val="0FD07B85"/>
    <w:rsid w:val="100952E4"/>
    <w:rsid w:val="100B7EEA"/>
    <w:rsid w:val="100F1B9C"/>
    <w:rsid w:val="10205F68"/>
    <w:rsid w:val="102E54F6"/>
    <w:rsid w:val="10434DAD"/>
    <w:rsid w:val="10464767"/>
    <w:rsid w:val="108A323A"/>
    <w:rsid w:val="10B023C0"/>
    <w:rsid w:val="10BB3C21"/>
    <w:rsid w:val="11252103"/>
    <w:rsid w:val="11284932"/>
    <w:rsid w:val="11476D6F"/>
    <w:rsid w:val="11645891"/>
    <w:rsid w:val="116F702A"/>
    <w:rsid w:val="116F7EBA"/>
    <w:rsid w:val="11733B3A"/>
    <w:rsid w:val="11842B6D"/>
    <w:rsid w:val="11A61B83"/>
    <w:rsid w:val="11AA7CE5"/>
    <w:rsid w:val="11BD73E7"/>
    <w:rsid w:val="11C37AF8"/>
    <w:rsid w:val="11D04EBA"/>
    <w:rsid w:val="11D521F7"/>
    <w:rsid w:val="11DA169D"/>
    <w:rsid w:val="11FB1AFA"/>
    <w:rsid w:val="12092999"/>
    <w:rsid w:val="120D5C80"/>
    <w:rsid w:val="120F0AB5"/>
    <w:rsid w:val="121424C3"/>
    <w:rsid w:val="12230A25"/>
    <w:rsid w:val="12446061"/>
    <w:rsid w:val="124D19A0"/>
    <w:rsid w:val="126747C7"/>
    <w:rsid w:val="127B0FBC"/>
    <w:rsid w:val="128E5888"/>
    <w:rsid w:val="12947380"/>
    <w:rsid w:val="12E93E96"/>
    <w:rsid w:val="12FF7778"/>
    <w:rsid w:val="134C0F84"/>
    <w:rsid w:val="135D4CFC"/>
    <w:rsid w:val="136524E8"/>
    <w:rsid w:val="13652D77"/>
    <w:rsid w:val="137B2853"/>
    <w:rsid w:val="13807929"/>
    <w:rsid w:val="13C04B96"/>
    <w:rsid w:val="13F80330"/>
    <w:rsid w:val="13FA392F"/>
    <w:rsid w:val="14217DA6"/>
    <w:rsid w:val="142450EE"/>
    <w:rsid w:val="142626F1"/>
    <w:rsid w:val="14281EF4"/>
    <w:rsid w:val="14355F11"/>
    <w:rsid w:val="143B4DEB"/>
    <w:rsid w:val="14583EBC"/>
    <w:rsid w:val="145E35A6"/>
    <w:rsid w:val="146A1F1B"/>
    <w:rsid w:val="148058A7"/>
    <w:rsid w:val="14920802"/>
    <w:rsid w:val="149D4212"/>
    <w:rsid w:val="14A80E58"/>
    <w:rsid w:val="14B9000E"/>
    <w:rsid w:val="14C015BB"/>
    <w:rsid w:val="14C1461A"/>
    <w:rsid w:val="14C342FB"/>
    <w:rsid w:val="14CB7D7D"/>
    <w:rsid w:val="14CD4882"/>
    <w:rsid w:val="14CF4894"/>
    <w:rsid w:val="14D11E12"/>
    <w:rsid w:val="14F66DC2"/>
    <w:rsid w:val="14FA09BB"/>
    <w:rsid w:val="150807E9"/>
    <w:rsid w:val="153B3F62"/>
    <w:rsid w:val="156B4B02"/>
    <w:rsid w:val="157416CF"/>
    <w:rsid w:val="157E217F"/>
    <w:rsid w:val="159B3128"/>
    <w:rsid w:val="159E5BE6"/>
    <w:rsid w:val="15B85C2C"/>
    <w:rsid w:val="15DB7892"/>
    <w:rsid w:val="16051D7A"/>
    <w:rsid w:val="160A50CA"/>
    <w:rsid w:val="160D5E6A"/>
    <w:rsid w:val="162074D6"/>
    <w:rsid w:val="163059FD"/>
    <w:rsid w:val="164D0A2F"/>
    <w:rsid w:val="16902FF3"/>
    <w:rsid w:val="16927796"/>
    <w:rsid w:val="169A45C7"/>
    <w:rsid w:val="16C12F4B"/>
    <w:rsid w:val="16C13E3E"/>
    <w:rsid w:val="172436D6"/>
    <w:rsid w:val="1729416D"/>
    <w:rsid w:val="1734715C"/>
    <w:rsid w:val="17496C17"/>
    <w:rsid w:val="176957FD"/>
    <w:rsid w:val="176A0E26"/>
    <w:rsid w:val="176B319B"/>
    <w:rsid w:val="179B0511"/>
    <w:rsid w:val="17A03ED2"/>
    <w:rsid w:val="17A74DE2"/>
    <w:rsid w:val="17C03FA8"/>
    <w:rsid w:val="17C32F16"/>
    <w:rsid w:val="17C35564"/>
    <w:rsid w:val="17D92497"/>
    <w:rsid w:val="18105A34"/>
    <w:rsid w:val="18215292"/>
    <w:rsid w:val="184B14BB"/>
    <w:rsid w:val="18572966"/>
    <w:rsid w:val="188A1BFB"/>
    <w:rsid w:val="18923DCD"/>
    <w:rsid w:val="189B5E4A"/>
    <w:rsid w:val="18A3257C"/>
    <w:rsid w:val="18A91672"/>
    <w:rsid w:val="18E02A66"/>
    <w:rsid w:val="18F23557"/>
    <w:rsid w:val="18F67A50"/>
    <w:rsid w:val="19225CD0"/>
    <w:rsid w:val="1924539C"/>
    <w:rsid w:val="19254EA9"/>
    <w:rsid w:val="19355BCE"/>
    <w:rsid w:val="195640D0"/>
    <w:rsid w:val="195C1F0C"/>
    <w:rsid w:val="19711559"/>
    <w:rsid w:val="19742A0A"/>
    <w:rsid w:val="19783C6C"/>
    <w:rsid w:val="19865B44"/>
    <w:rsid w:val="198E50F6"/>
    <w:rsid w:val="19A90731"/>
    <w:rsid w:val="19BA0578"/>
    <w:rsid w:val="19CA31AD"/>
    <w:rsid w:val="19D11103"/>
    <w:rsid w:val="19D419FA"/>
    <w:rsid w:val="19DB60D7"/>
    <w:rsid w:val="19EE380A"/>
    <w:rsid w:val="19F43B2B"/>
    <w:rsid w:val="19F73DCE"/>
    <w:rsid w:val="19F86FAC"/>
    <w:rsid w:val="1A01241D"/>
    <w:rsid w:val="1A0C1BB5"/>
    <w:rsid w:val="1A1720E3"/>
    <w:rsid w:val="1A180CB3"/>
    <w:rsid w:val="1A2631DF"/>
    <w:rsid w:val="1A2B6B53"/>
    <w:rsid w:val="1A506DE5"/>
    <w:rsid w:val="1A6828D6"/>
    <w:rsid w:val="1A8E5FAA"/>
    <w:rsid w:val="1A9F3FB0"/>
    <w:rsid w:val="1A9F7E01"/>
    <w:rsid w:val="1AAC2222"/>
    <w:rsid w:val="1AC62CDF"/>
    <w:rsid w:val="1ACF410A"/>
    <w:rsid w:val="1ADD0C85"/>
    <w:rsid w:val="1AFA25F1"/>
    <w:rsid w:val="1B000A6F"/>
    <w:rsid w:val="1B203AC6"/>
    <w:rsid w:val="1B49021B"/>
    <w:rsid w:val="1B787413"/>
    <w:rsid w:val="1B8A60CF"/>
    <w:rsid w:val="1B933EB4"/>
    <w:rsid w:val="1B940146"/>
    <w:rsid w:val="1BC2672F"/>
    <w:rsid w:val="1BFA4187"/>
    <w:rsid w:val="1C0B7892"/>
    <w:rsid w:val="1C2B56F6"/>
    <w:rsid w:val="1C2F3CAF"/>
    <w:rsid w:val="1C3436CD"/>
    <w:rsid w:val="1C3B5F1F"/>
    <w:rsid w:val="1C59646C"/>
    <w:rsid w:val="1C902289"/>
    <w:rsid w:val="1CA06DF2"/>
    <w:rsid w:val="1CEA43EF"/>
    <w:rsid w:val="1D1000E6"/>
    <w:rsid w:val="1D253A81"/>
    <w:rsid w:val="1D2C0953"/>
    <w:rsid w:val="1D475D11"/>
    <w:rsid w:val="1D63134D"/>
    <w:rsid w:val="1D6A5B9D"/>
    <w:rsid w:val="1D7A000E"/>
    <w:rsid w:val="1D875ADE"/>
    <w:rsid w:val="1D9C2B50"/>
    <w:rsid w:val="1DBB66CA"/>
    <w:rsid w:val="1DBD1F1B"/>
    <w:rsid w:val="1DC2479B"/>
    <w:rsid w:val="1DCA1810"/>
    <w:rsid w:val="1DD47BD8"/>
    <w:rsid w:val="1DF37FBA"/>
    <w:rsid w:val="1DF468D5"/>
    <w:rsid w:val="1E0D76CE"/>
    <w:rsid w:val="1E1C0B92"/>
    <w:rsid w:val="1E1E3996"/>
    <w:rsid w:val="1E3572B4"/>
    <w:rsid w:val="1E474F60"/>
    <w:rsid w:val="1E5970A5"/>
    <w:rsid w:val="1E7A497B"/>
    <w:rsid w:val="1E7E5E73"/>
    <w:rsid w:val="1E85353B"/>
    <w:rsid w:val="1E9364BB"/>
    <w:rsid w:val="1EA436CE"/>
    <w:rsid w:val="1EAF0501"/>
    <w:rsid w:val="1EE46FEC"/>
    <w:rsid w:val="1EE605EB"/>
    <w:rsid w:val="1EE92462"/>
    <w:rsid w:val="1EF569C7"/>
    <w:rsid w:val="1EF8002C"/>
    <w:rsid w:val="1F026342"/>
    <w:rsid w:val="1F2227F3"/>
    <w:rsid w:val="1F2A3BCC"/>
    <w:rsid w:val="1F3861FE"/>
    <w:rsid w:val="1F5E36EA"/>
    <w:rsid w:val="1F73409D"/>
    <w:rsid w:val="1F9B4FB8"/>
    <w:rsid w:val="1FC542A0"/>
    <w:rsid w:val="1FCC3186"/>
    <w:rsid w:val="1FCE7D89"/>
    <w:rsid w:val="1FE22505"/>
    <w:rsid w:val="1FEC1442"/>
    <w:rsid w:val="1FF45730"/>
    <w:rsid w:val="202B1AC3"/>
    <w:rsid w:val="202B6A99"/>
    <w:rsid w:val="205261CF"/>
    <w:rsid w:val="207F00D8"/>
    <w:rsid w:val="208A1DE8"/>
    <w:rsid w:val="208E0D39"/>
    <w:rsid w:val="20A70BCE"/>
    <w:rsid w:val="20D95E48"/>
    <w:rsid w:val="20E53EFA"/>
    <w:rsid w:val="21173242"/>
    <w:rsid w:val="212671D7"/>
    <w:rsid w:val="21352B51"/>
    <w:rsid w:val="213C3273"/>
    <w:rsid w:val="21454CC2"/>
    <w:rsid w:val="21670D4B"/>
    <w:rsid w:val="21A91226"/>
    <w:rsid w:val="21B579A2"/>
    <w:rsid w:val="21E21841"/>
    <w:rsid w:val="21ED08E4"/>
    <w:rsid w:val="21FE7EEB"/>
    <w:rsid w:val="220E3A49"/>
    <w:rsid w:val="2212670E"/>
    <w:rsid w:val="222801FB"/>
    <w:rsid w:val="222E18B2"/>
    <w:rsid w:val="225706FB"/>
    <w:rsid w:val="225F3FF8"/>
    <w:rsid w:val="226A31BA"/>
    <w:rsid w:val="227D4D49"/>
    <w:rsid w:val="2294579D"/>
    <w:rsid w:val="22A35436"/>
    <w:rsid w:val="22C20A38"/>
    <w:rsid w:val="22E86E4B"/>
    <w:rsid w:val="22FA4E28"/>
    <w:rsid w:val="22FC1CB6"/>
    <w:rsid w:val="23142C85"/>
    <w:rsid w:val="231A36C1"/>
    <w:rsid w:val="23366BAB"/>
    <w:rsid w:val="233823D2"/>
    <w:rsid w:val="23515F90"/>
    <w:rsid w:val="237C7B45"/>
    <w:rsid w:val="238409AA"/>
    <w:rsid w:val="23AF75DB"/>
    <w:rsid w:val="23C120F8"/>
    <w:rsid w:val="23C72534"/>
    <w:rsid w:val="23DA0859"/>
    <w:rsid w:val="23EC4586"/>
    <w:rsid w:val="23EC723A"/>
    <w:rsid w:val="241E1F43"/>
    <w:rsid w:val="2423375B"/>
    <w:rsid w:val="242D5D5E"/>
    <w:rsid w:val="24312306"/>
    <w:rsid w:val="24536634"/>
    <w:rsid w:val="247A4E6C"/>
    <w:rsid w:val="248C6643"/>
    <w:rsid w:val="249B2D85"/>
    <w:rsid w:val="249F7326"/>
    <w:rsid w:val="24A5341B"/>
    <w:rsid w:val="24B86D3E"/>
    <w:rsid w:val="24BC7835"/>
    <w:rsid w:val="24C92C1F"/>
    <w:rsid w:val="24E32969"/>
    <w:rsid w:val="250F48CD"/>
    <w:rsid w:val="25157097"/>
    <w:rsid w:val="25293D4A"/>
    <w:rsid w:val="255B3F3F"/>
    <w:rsid w:val="257F5599"/>
    <w:rsid w:val="259340F6"/>
    <w:rsid w:val="25985368"/>
    <w:rsid w:val="2599228C"/>
    <w:rsid w:val="25A55F54"/>
    <w:rsid w:val="25AC1221"/>
    <w:rsid w:val="25AD703B"/>
    <w:rsid w:val="25AF1AF0"/>
    <w:rsid w:val="25D96FC7"/>
    <w:rsid w:val="25DE587E"/>
    <w:rsid w:val="25F13F59"/>
    <w:rsid w:val="25FA4937"/>
    <w:rsid w:val="26285466"/>
    <w:rsid w:val="264B4071"/>
    <w:rsid w:val="266243F1"/>
    <w:rsid w:val="26656478"/>
    <w:rsid w:val="266C2A3A"/>
    <w:rsid w:val="26726B5F"/>
    <w:rsid w:val="269B38E3"/>
    <w:rsid w:val="26A03988"/>
    <w:rsid w:val="26B27FDA"/>
    <w:rsid w:val="26B66486"/>
    <w:rsid w:val="26BA635B"/>
    <w:rsid w:val="26BB72CE"/>
    <w:rsid w:val="26D20DE7"/>
    <w:rsid w:val="26EF07BB"/>
    <w:rsid w:val="2700590E"/>
    <w:rsid w:val="27023A81"/>
    <w:rsid w:val="27063945"/>
    <w:rsid w:val="271105DD"/>
    <w:rsid w:val="271E2548"/>
    <w:rsid w:val="272210FA"/>
    <w:rsid w:val="27630ECE"/>
    <w:rsid w:val="27845588"/>
    <w:rsid w:val="278732D8"/>
    <w:rsid w:val="27BD3FAC"/>
    <w:rsid w:val="27BE4DD0"/>
    <w:rsid w:val="27D37927"/>
    <w:rsid w:val="27DD2FAC"/>
    <w:rsid w:val="27F24799"/>
    <w:rsid w:val="280C08E3"/>
    <w:rsid w:val="280E60FA"/>
    <w:rsid w:val="28114E6E"/>
    <w:rsid w:val="28285496"/>
    <w:rsid w:val="28315327"/>
    <w:rsid w:val="28651878"/>
    <w:rsid w:val="28840A8D"/>
    <w:rsid w:val="28840E09"/>
    <w:rsid w:val="289F3242"/>
    <w:rsid w:val="28B03D65"/>
    <w:rsid w:val="28B57353"/>
    <w:rsid w:val="28B67F4E"/>
    <w:rsid w:val="28F60946"/>
    <w:rsid w:val="292210FF"/>
    <w:rsid w:val="293D465D"/>
    <w:rsid w:val="293F552F"/>
    <w:rsid w:val="29442E5E"/>
    <w:rsid w:val="29557CC0"/>
    <w:rsid w:val="29671702"/>
    <w:rsid w:val="296738AA"/>
    <w:rsid w:val="29C942A8"/>
    <w:rsid w:val="29D82A4D"/>
    <w:rsid w:val="29E60727"/>
    <w:rsid w:val="29E907C2"/>
    <w:rsid w:val="29EC1D7B"/>
    <w:rsid w:val="29F67CF2"/>
    <w:rsid w:val="29FB777B"/>
    <w:rsid w:val="2A064840"/>
    <w:rsid w:val="2A120188"/>
    <w:rsid w:val="2A320B9A"/>
    <w:rsid w:val="2A34580C"/>
    <w:rsid w:val="2A42363D"/>
    <w:rsid w:val="2A584C16"/>
    <w:rsid w:val="2A783D93"/>
    <w:rsid w:val="2A7913F8"/>
    <w:rsid w:val="2A9C57B8"/>
    <w:rsid w:val="2AA76D25"/>
    <w:rsid w:val="2AAD284E"/>
    <w:rsid w:val="2AF32CB8"/>
    <w:rsid w:val="2AF806BD"/>
    <w:rsid w:val="2B4E4BA3"/>
    <w:rsid w:val="2B540D0F"/>
    <w:rsid w:val="2B697D9A"/>
    <w:rsid w:val="2B732A8D"/>
    <w:rsid w:val="2B7C591E"/>
    <w:rsid w:val="2B7D2294"/>
    <w:rsid w:val="2B9022FF"/>
    <w:rsid w:val="2B954CAE"/>
    <w:rsid w:val="2B984948"/>
    <w:rsid w:val="2B9F1671"/>
    <w:rsid w:val="2BB31A46"/>
    <w:rsid w:val="2BB557C7"/>
    <w:rsid w:val="2BBF6949"/>
    <w:rsid w:val="2BCD1923"/>
    <w:rsid w:val="2BDD2D68"/>
    <w:rsid w:val="2C052A87"/>
    <w:rsid w:val="2C070FE8"/>
    <w:rsid w:val="2C4D3249"/>
    <w:rsid w:val="2C6D73DF"/>
    <w:rsid w:val="2C751737"/>
    <w:rsid w:val="2C813E03"/>
    <w:rsid w:val="2C89295F"/>
    <w:rsid w:val="2C95210E"/>
    <w:rsid w:val="2CAD3624"/>
    <w:rsid w:val="2CB62C03"/>
    <w:rsid w:val="2CBC042B"/>
    <w:rsid w:val="2CBC3313"/>
    <w:rsid w:val="2CC95BEE"/>
    <w:rsid w:val="2CD7280A"/>
    <w:rsid w:val="2CEE5A73"/>
    <w:rsid w:val="2D027874"/>
    <w:rsid w:val="2D063FE2"/>
    <w:rsid w:val="2D1F7442"/>
    <w:rsid w:val="2D215F55"/>
    <w:rsid w:val="2D3F6E46"/>
    <w:rsid w:val="2D577161"/>
    <w:rsid w:val="2D5D6FD4"/>
    <w:rsid w:val="2D602562"/>
    <w:rsid w:val="2D627E50"/>
    <w:rsid w:val="2D753097"/>
    <w:rsid w:val="2D9333B4"/>
    <w:rsid w:val="2D9D4CF4"/>
    <w:rsid w:val="2DBA4734"/>
    <w:rsid w:val="2DBB0976"/>
    <w:rsid w:val="2DDA3075"/>
    <w:rsid w:val="2DF135C9"/>
    <w:rsid w:val="2DFB038B"/>
    <w:rsid w:val="2E322F72"/>
    <w:rsid w:val="2E373A1B"/>
    <w:rsid w:val="2E3D469A"/>
    <w:rsid w:val="2E5F21DD"/>
    <w:rsid w:val="2E6B525A"/>
    <w:rsid w:val="2E6E124B"/>
    <w:rsid w:val="2E9546A2"/>
    <w:rsid w:val="2EA24A03"/>
    <w:rsid w:val="2EE34488"/>
    <w:rsid w:val="2EE950C8"/>
    <w:rsid w:val="2EFF0FD8"/>
    <w:rsid w:val="2F0E64CF"/>
    <w:rsid w:val="2F112658"/>
    <w:rsid w:val="2F162EA4"/>
    <w:rsid w:val="2F17146B"/>
    <w:rsid w:val="2F190463"/>
    <w:rsid w:val="2F1A1B42"/>
    <w:rsid w:val="2F1B256F"/>
    <w:rsid w:val="2F2B12E9"/>
    <w:rsid w:val="2F431078"/>
    <w:rsid w:val="2F4C0815"/>
    <w:rsid w:val="2F511EA6"/>
    <w:rsid w:val="2F534C00"/>
    <w:rsid w:val="2F7A3CBF"/>
    <w:rsid w:val="2F953EB4"/>
    <w:rsid w:val="2F990058"/>
    <w:rsid w:val="2FD4081B"/>
    <w:rsid w:val="301C50A4"/>
    <w:rsid w:val="30207EA6"/>
    <w:rsid w:val="30277D1C"/>
    <w:rsid w:val="30372959"/>
    <w:rsid w:val="303C114F"/>
    <w:rsid w:val="303E53DD"/>
    <w:rsid w:val="30476F70"/>
    <w:rsid w:val="304C7BB2"/>
    <w:rsid w:val="30565A9C"/>
    <w:rsid w:val="305B4F44"/>
    <w:rsid w:val="306802C6"/>
    <w:rsid w:val="3070005D"/>
    <w:rsid w:val="30863F97"/>
    <w:rsid w:val="30A90346"/>
    <w:rsid w:val="30B47367"/>
    <w:rsid w:val="30ED1F7A"/>
    <w:rsid w:val="30FC69B6"/>
    <w:rsid w:val="30FF104A"/>
    <w:rsid w:val="31073B12"/>
    <w:rsid w:val="311355CC"/>
    <w:rsid w:val="31226D9B"/>
    <w:rsid w:val="31277CE2"/>
    <w:rsid w:val="3141517A"/>
    <w:rsid w:val="314E6CBC"/>
    <w:rsid w:val="31792812"/>
    <w:rsid w:val="317E08FF"/>
    <w:rsid w:val="319161B5"/>
    <w:rsid w:val="31A50DC8"/>
    <w:rsid w:val="31B94721"/>
    <w:rsid w:val="31D515B8"/>
    <w:rsid w:val="31D54793"/>
    <w:rsid w:val="31E45E5E"/>
    <w:rsid w:val="32244A82"/>
    <w:rsid w:val="325B5792"/>
    <w:rsid w:val="32744109"/>
    <w:rsid w:val="32787D25"/>
    <w:rsid w:val="32801CB6"/>
    <w:rsid w:val="328822B7"/>
    <w:rsid w:val="3289032A"/>
    <w:rsid w:val="32AE59DD"/>
    <w:rsid w:val="32D332E0"/>
    <w:rsid w:val="32F07795"/>
    <w:rsid w:val="32F6137C"/>
    <w:rsid w:val="32F87249"/>
    <w:rsid w:val="32FE2BF5"/>
    <w:rsid w:val="33115E0F"/>
    <w:rsid w:val="331942F6"/>
    <w:rsid w:val="33273832"/>
    <w:rsid w:val="33333133"/>
    <w:rsid w:val="334B56FB"/>
    <w:rsid w:val="3358084B"/>
    <w:rsid w:val="337C4783"/>
    <w:rsid w:val="33923D21"/>
    <w:rsid w:val="33B81962"/>
    <w:rsid w:val="33B82D15"/>
    <w:rsid w:val="33C11EAD"/>
    <w:rsid w:val="33CE0CC3"/>
    <w:rsid w:val="33D23A93"/>
    <w:rsid w:val="33D73933"/>
    <w:rsid w:val="33D748C6"/>
    <w:rsid w:val="33D9052A"/>
    <w:rsid w:val="33DA3519"/>
    <w:rsid w:val="33E42967"/>
    <w:rsid w:val="33F2287E"/>
    <w:rsid w:val="33F57067"/>
    <w:rsid w:val="342E628A"/>
    <w:rsid w:val="34364EAB"/>
    <w:rsid w:val="343C7C22"/>
    <w:rsid w:val="34455592"/>
    <w:rsid w:val="34464E1A"/>
    <w:rsid w:val="3455441A"/>
    <w:rsid w:val="34956229"/>
    <w:rsid w:val="34C007AF"/>
    <w:rsid w:val="34C24EE8"/>
    <w:rsid w:val="34E14044"/>
    <w:rsid w:val="34ED1487"/>
    <w:rsid w:val="350348A2"/>
    <w:rsid w:val="350B6CD1"/>
    <w:rsid w:val="353E6460"/>
    <w:rsid w:val="354D7A89"/>
    <w:rsid w:val="3557414D"/>
    <w:rsid w:val="358F0D50"/>
    <w:rsid w:val="35A51867"/>
    <w:rsid w:val="35A62056"/>
    <w:rsid w:val="35A67081"/>
    <w:rsid w:val="35AC6949"/>
    <w:rsid w:val="35B1168A"/>
    <w:rsid w:val="35BC06D2"/>
    <w:rsid w:val="35DE28FA"/>
    <w:rsid w:val="35E23B11"/>
    <w:rsid w:val="35EC7AB6"/>
    <w:rsid w:val="35F155ED"/>
    <w:rsid w:val="35F70052"/>
    <w:rsid w:val="360931E6"/>
    <w:rsid w:val="360C75B8"/>
    <w:rsid w:val="361227C4"/>
    <w:rsid w:val="36165CD1"/>
    <w:rsid w:val="362F3C1B"/>
    <w:rsid w:val="364E229C"/>
    <w:rsid w:val="364F5169"/>
    <w:rsid w:val="364F5242"/>
    <w:rsid w:val="3664704C"/>
    <w:rsid w:val="36660724"/>
    <w:rsid w:val="366F6234"/>
    <w:rsid w:val="36814D91"/>
    <w:rsid w:val="368F4F9A"/>
    <w:rsid w:val="36C117CA"/>
    <w:rsid w:val="36C46FE4"/>
    <w:rsid w:val="36C47652"/>
    <w:rsid w:val="36D00D5A"/>
    <w:rsid w:val="36EC2811"/>
    <w:rsid w:val="36F13EF1"/>
    <w:rsid w:val="36F4510C"/>
    <w:rsid w:val="36F91FC5"/>
    <w:rsid w:val="37005405"/>
    <w:rsid w:val="370A5610"/>
    <w:rsid w:val="370E49AA"/>
    <w:rsid w:val="371872EF"/>
    <w:rsid w:val="372F5D28"/>
    <w:rsid w:val="37494035"/>
    <w:rsid w:val="375F56FE"/>
    <w:rsid w:val="37654F88"/>
    <w:rsid w:val="376F4E86"/>
    <w:rsid w:val="37974313"/>
    <w:rsid w:val="37A84E13"/>
    <w:rsid w:val="37BA5FA5"/>
    <w:rsid w:val="37C15E47"/>
    <w:rsid w:val="37C6367F"/>
    <w:rsid w:val="37E21CF2"/>
    <w:rsid w:val="37F64AF5"/>
    <w:rsid w:val="37FC2678"/>
    <w:rsid w:val="38153AD8"/>
    <w:rsid w:val="38222F62"/>
    <w:rsid w:val="38235F70"/>
    <w:rsid w:val="38304E13"/>
    <w:rsid w:val="383252C1"/>
    <w:rsid w:val="384D7FEA"/>
    <w:rsid w:val="385861CA"/>
    <w:rsid w:val="387F0992"/>
    <w:rsid w:val="38820824"/>
    <w:rsid w:val="38A23A90"/>
    <w:rsid w:val="3913116B"/>
    <w:rsid w:val="39212E0F"/>
    <w:rsid w:val="39216E79"/>
    <w:rsid w:val="392327CE"/>
    <w:rsid w:val="392D63D3"/>
    <w:rsid w:val="3945013B"/>
    <w:rsid w:val="394E61CB"/>
    <w:rsid w:val="395B736D"/>
    <w:rsid w:val="39754534"/>
    <w:rsid w:val="398366D3"/>
    <w:rsid w:val="39881476"/>
    <w:rsid w:val="399F46BE"/>
    <w:rsid w:val="39CB57B4"/>
    <w:rsid w:val="39DE64CC"/>
    <w:rsid w:val="39DE68DF"/>
    <w:rsid w:val="39EB5851"/>
    <w:rsid w:val="3A0D5606"/>
    <w:rsid w:val="3A1F176C"/>
    <w:rsid w:val="3A416ED2"/>
    <w:rsid w:val="3A69631B"/>
    <w:rsid w:val="3A74311E"/>
    <w:rsid w:val="3A8C1E05"/>
    <w:rsid w:val="3AF40EAF"/>
    <w:rsid w:val="3B081A71"/>
    <w:rsid w:val="3B0F72CE"/>
    <w:rsid w:val="3B2412AD"/>
    <w:rsid w:val="3B2566FA"/>
    <w:rsid w:val="3B2F712A"/>
    <w:rsid w:val="3B4877CF"/>
    <w:rsid w:val="3B4C1284"/>
    <w:rsid w:val="3B53251D"/>
    <w:rsid w:val="3B6E50FF"/>
    <w:rsid w:val="3B816B31"/>
    <w:rsid w:val="3B9434AF"/>
    <w:rsid w:val="3BE644F7"/>
    <w:rsid w:val="3BFE4061"/>
    <w:rsid w:val="3C0A592A"/>
    <w:rsid w:val="3C1908DF"/>
    <w:rsid w:val="3C2A0D9F"/>
    <w:rsid w:val="3C681222"/>
    <w:rsid w:val="3C821CD3"/>
    <w:rsid w:val="3CAC749C"/>
    <w:rsid w:val="3CC8269A"/>
    <w:rsid w:val="3CCD65FE"/>
    <w:rsid w:val="3CD81B6A"/>
    <w:rsid w:val="3CE505AF"/>
    <w:rsid w:val="3CE72485"/>
    <w:rsid w:val="3CE90EB4"/>
    <w:rsid w:val="3CF13E86"/>
    <w:rsid w:val="3CFB69A6"/>
    <w:rsid w:val="3D0906D0"/>
    <w:rsid w:val="3D0958EF"/>
    <w:rsid w:val="3D0B495E"/>
    <w:rsid w:val="3D0E2B02"/>
    <w:rsid w:val="3D331D31"/>
    <w:rsid w:val="3D4273C4"/>
    <w:rsid w:val="3D504788"/>
    <w:rsid w:val="3D5A3963"/>
    <w:rsid w:val="3D5E05C0"/>
    <w:rsid w:val="3D843783"/>
    <w:rsid w:val="3DA20CB6"/>
    <w:rsid w:val="3DAD2B58"/>
    <w:rsid w:val="3DE5227C"/>
    <w:rsid w:val="3DEE0A2C"/>
    <w:rsid w:val="3E0A0982"/>
    <w:rsid w:val="3E200140"/>
    <w:rsid w:val="3E300AD3"/>
    <w:rsid w:val="3E5117AC"/>
    <w:rsid w:val="3E70649F"/>
    <w:rsid w:val="3E752FEE"/>
    <w:rsid w:val="3E78466F"/>
    <w:rsid w:val="3E9728EC"/>
    <w:rsid w:val="3EA36DA2"/>
    <w:rsid w:val="3EC4017B"/>
    <w:rsid w:val="3ECA6A47"/>
    <w:rsid w:val="3EE86108"/>
    <w:rsid w:val="3EEA6702"/>
    <w:rsid w:val="3F12297B"/>
    <w:rsid w:val="3F167184"/>
    <w:rsid w:val="3F1A7E55"/>
    <w:rsid w:val="3F1B5A0A"/>
    <w:rsid w:val="3F2A67D7"/>
    <w:rsid w:val="3F4D16E6"/>
    <w:rsid w:val="3F4F0EC3"/>
    <w:rsid w:val="3F5B7A4B"/>
    <w:rsid w:val="3F5E3A27"/>
    <w:rsid w:val="3F615AFE"/>
    <w:rsid w:val="3F6459E6"/>
    <w:rsid w:val="3F7174B0"/>
    <w:rsid w:val="3F7C238F"/>
    <w:rsid w:val="3F8275A7"/>
    <w:rsid w:val="3F85593D"/>
    <w:rsid w:val="3F9317EA"/>
    <w:rsid w:val="3FAE1EAA"/>
    <w:rsid w:val="3FB951C1"/>
    <w:rsid w:val="3FC458CB"/>
    <w:rsid w:val="3FC50744"/>
    <w:rsid w:val="3FCA26DD"/>
    <w:rsid w:val="40090B8E"/>
    <w:rsid w:val="400A39E4"/>
    <w:rsid w:val="400D2571"/>
    <w:rsid w:val="40196F34"/>
    <w:rsid w:val="40420A0D"/>
    <w:rsid w:val="405177A4"/>
    <w:rsid w:val="40570AE2"/>
    <w:rsid w:val="405B5EF2"/>
    <w:rsid w:val="406B3335"/>
    <w:rsid w:val="406F1C68"/>
    <w:rsid w:val="407329E4"/>
    <w:rsid w:val="40801DC5"/>
    <w:rsid w:val="40844EC0"/>
    <w:rsid w:val="4086025B"/>
    <w:rsid w:val="40880D78"/>
    <w:rsid w:val="40942E4E"/>
    <w:rsid w:val="40AF2926"/>
    <w:rsid w:val="40B14B10"/>
    <w:rsid w:val="40BE5D0C"/>
    <w:rsid w:val="40D37419"/>
    <w:rsid w:val="40DF7353"/>
    <w:rsid w:val="40EC000C"/>
    <w:rsid w:val="40EC543D"/>
    <w:rsid w:val="4124393F"/>
    <w:rsid w:val="41430135"/>
    <w:rsid w:val="4155493C"/>
    <w:rsid w:val="41660486"/>
    <w:rsid w:val="41953C04"/>
    <w:rsid w:val="41B61834"/>
    <w:rsid w:val="41CB0956"/>
    <w:rsid w:val="41D86512"/>
    <w:rsid w:val="41D87379"/>
    <w:rsid w:val="41E520D3"/>
    <w:rsid w:val="422722F7"/>
    <w:rsid w:val="422F3ECC"/>
    <w:rsid w:val="423D50D1"/>
    <w:rsid w:val="423E6B8A"/>
    <w:rsid w:val="424636FE"/>
    <w:rsid w:val="424C4E9D"/>
    <w:rsid w:val="425242EA"/>
    <w:rsid w:val="426F1683"/>
    <w:rsid w:val="42706705"/>
    <w:rsid w:val="42A4758F"/>
    <w:rsid w:val="42A90F3F"/>
    <w:rsid w:val="42CF24CB"/>
    <w:rsid w:val="42D51B10"/>
    <w:rsid w:val="42F120BE"/>
    <w:rsid w:val="42F37E9E"/>
    <w:rsid w:val="42F5548C"/>
    <w:rsid w:val="430601B1"/>
    <w:rsid w:val="433F5744"/>
    <w:rsid w:val="434234FA"/>
    <w:rsid w:val="43445C0E"/>
    <w:rsid w:val="43572F92"/>
    <w:rsid w:val="43660DBD"/>
    <w:rsid w:val="43832E5A"/>
    <w:rsid w:val="43947B2E"/>
    <w:rsid w:val="43965C6E"/>
    <w:rsid w:val="43A46235"/>
    <w:rsid w:val="43A56D67"/>
    <w:rsid w:val="43C35928"/>
    <w:rsid w:val="43D9446E"/>
    <w:rsid w:val="43E02066"/>
    <w:rsid w:val="43E4411D"/>
    <w:rsid w:val="43EA7DE0"/>
    <w:rsid w:val="44135796"/>
    <w:rsid w:val="441A0C1B"/>
    <w:rsid w:val="441C6110"/>
    <w:rsid w:val="443851F9"/>
    <w:rsid w:val="443C404D"/>
    <w:rsid w:val="443D77D7"/>
    <w:rsid w:val="445C4EDE"/>
    <w:rsid w:val="4464273F"/>
    <w:rsid w:val="446D1A0C"/>
    <w:rsid w:val="44A83764"/>
    <w:rsid w:val="44AE577E"/>
    <w:rsid w:val="44CA72EB"/>
    <w:rsid w:val="44E53CB8"/>
    <w:rsid w:val="44EE60F3"/>
    <w:rsid w:val="44F63AE0"/>
    <w:rsid w:val="450C4F62"/>
    <w:rsid w:val="45212A8B"/>
    <w:rsid w:val="45334C4D"/>
    <w:rsid w:val="453B6F2D"/>
    <w:rsid w:val="454E0D58"/>
    <w:rsid w:val="4551194E"/>
    <w:rsid w:val="456E75A5"/>
    <w:rsid w:val="457908D6"/>
    <w:rsid w:val="457D6D04"/>
    <w:rsid w:val="458634EA"/>
    <w:rsid w:val="459C4888"/>
    <w:rsid w:val="45C7704C"/>
    <w:rsid w:val="45E41D14"/>
    <w:rsid w:val="45E910E1"/>
    <w:rsid w:val="45EB47A3"/>
    <w:rsid w:val="460729EC"/>
    <w:rsid w:val="460F0BBC"/>
    <w:rsid w:val="46312007"/>
    <w:rsid w:val="46497BAC"/>
    <w:rsid w:val="467E3B9D"/>
    <w:rsid w:val="46811470"/>
    <w:rsid w:val="468C347D"/>
    <w:rsid w:val="468D3034"/>
    <w:rsid w:val="468F2D28"/>
    <w:rsid w:val="46921B15"/>
    <w:rsid w:val="46AB3CF3"/>
    <w:rsid w:val="46AD60C9"/>
    <w:rsid w:val="46C30770"/>
    <w:rsid w:val="46C704E7"/>
    <w:rsid w:val="46CF70F3"/>
    <w:rsid w:val="46D01AE7"/>
    <w:rsid w:val="46DF6CF9"/>
    <w:rsid w:val="46E94558"/>
    <w:rsid w:val="47046AF2"/>
    <w:rsid w:val="471E680C"/>
    <w:rsid w:val="47263A4B"/>
    <w:rsid w:val="47351A7A"/>
    <w:rsid w:val="473C470F"/>
    <w:rsid w:val="474011DA"/>
    <w:rsid w:val="474A4BC8"/>
    <w:rsid w:val="47655E8C"/>
    <w:rsid w:val="4767145E"/>
    <w:rsid w:val="47753672"/>
    <w:rsid w:val="47922A24"/>
    <w:rsid w:val="4798090A"/>
    <w:rsid w:val="47987786"/>
    <w:rsid w:val="47B4400A"/>
    <w:rsid w:val="47DD2E02"/>
    <w:rsid w:val="47E34FCD"/>
    <w:rsid w:val="47F21F2D"/>
    <w:rsid w:val="48072584"/>
    <w:rsid w:val="48495531"/>
    <w:rsid w:val="486A5A4F"/>
    <w:rsid w:val="4875155F"/>
    <w:rsid w:val="487B0E3D"/>
    <w:rsid w:val="488542A2"/>
    <w:rsid w:val="48BD09D7"/>
    <w:rsid w:val="48BE3BC7"/>
    <w:rsid w:val="48D827DD"/>
    <w:rsid w:val="48EE2F0B"/>
    <w:rsid w:val="491D04DC"/>
    <w:rsid w:val="493641C0"/>
    <w:rsid w:val="49441701"/>
    <w:rsid w:val="49482C33"/>
    <w:rsid w:val="494B1727"/>
    <w:rsid w:val="496C6828"/>
    <w:rsid w:val="4979037C"/>
    <w:rsid w:val="49896F8C"/>
    <w:rsid w:val="498A6E51"/>
    <w:rsid w:val="49946DC4"/>
    <w:rsid w:val="49AB06C8"/>
    <w:rsid w:val="49B35F12"/>
    <w:rsid w:val="49BF202F"/>
    <w:rsid w:val="49C0071F"/>
    <w:rsid w:val="49C87424"/>
    <w:rsid w:val="49CA4E78"/>
    <w:rsid w:val="49FE17A9"/>
    <w:rsid w:val="4A096E32"/>
    <w:rsid w:val="4A204457"/>
    <w:rsid w:val="4A482748"/>
    <w:rsid w:val="4A5B1BAA"/>
    <w:rsid w:val="4A6F4145"/>
    <w:rsid w:val="4A745318"/>
    <w:rsid w:val="4A8A35A1"/>
    <w:rsid w:val="4A8D7331"/>
    <w:rsid w:val="4AA9193A"/>
    <w:rsid w:val="4ABE2647"/>
    <w:rsid w:val="4AD4362D"/>
    <w:rsid w:val="4AE80BFD"/>
    <w:rsid w:val="4B0F35B0"/>
    <w:rsid w:val="4B301732"/>
    <w:rsid w:val="4B3914B4"/>
    <w:rsid w:val="4B394FC9"/>
    <w:rsid w:val="4B482464"/>
    <w:rsid w:val="4B490C5C"/>
    <w:rsid w:val="4B493655"/>
    <w:rsid w:val="4B53314F"/>
    <w:rsid w:val="4B6F2F85"/>
    <w:rsid w:val="4B715C38"/>
    <w:rsid w:val="4B8538D4"/>
    <w:rsid w:val="4B882896"/>
    <w:rsid w:val="4B9510D8"/>
    <w:rsid w:val="4BC2192A"/>
    <w:rsid w:val="4C0F515C"/>
    <w:rsid w:val="4C14480A"/>
    <w:rsid w:val="4C252AE1"/>
    <w:rsid w:val="4C295139"/>
    <w:rsid w:val="4C2D05BF"/>
    <w:rsid w:val="4C52655F"/>
    <w:rsid w:val="4C5B62BB"/>
    <w:rsid w:val="4C6E6FFC"/>
    <w:rsid w:val="4C77362C"/>
    <w:rsid w:val="4CA26108"/>
    <w:rsid w:val="4CAE412C"/>
    <w:rsid w:val="4CC84A9B"/>
    <w:rsid w:val="4CD1154E"/>
    <w:rsid w:val="4CD4774E"/>
    <w:rsid w:val="4CF36C5F"/>
    <w:rsid w:val="4D0105E9"/>
    <w:rsid w:val="4D19246F"/>
    <w:rsid w:val="4D2B3EEB"/>
    <w:rsid w:val="4D385556"/>
    <w:rsid w:val="4D39679C"/>
    <w:rsid w:val="4D3C16EA"/>
    <w:rsid w:val="4D673A2D"/>
    <w:rsid w:val="4D7B75CA"/>
    <w:rsid w:val="4D9D13E7"/>
    <w:rsid w:val="4DAC6CCE"/>
    <w:rsid w:val="4DC23F49"/>
    <w:rsid w:val="4DCD02DC"/>
    <w:rsid w:val="4DD77C46"/>
    <w:rsid w:val="4E260FF7"/>
    <w:rsid w:val="4E294836"/>
    <w:rsid w:val="4E2C6989"/>
    <w:rsid w:val="4E2E43E9"/>
    <w:rsid w:val="4E327B01"/>
    <w:rsid w:val="4E4B7D53"/>
    <w:rsid w:val="4E541AB7"/>
    <w:rsid w:val="4E611273"/>
    <w:rsid w:val="4E64167E"/>
    <w:rsid w:val="4E7C65A6"/>
    <w:rsid w:val="4E800EC2"/>
    <w:rsid w:val="4EAA25F3"/>
    <w:rsid w:val="4EBE561C"/>
    <w:rsid w:val="4EC76D10"/>
    <w:rsid w:val="4ED427D9"/>
    <w:rsid w:val="4EF870B5"/>
    <w:rsid w:val="4F1C04FD"/>
    <w:rsid w:val="4F26400E"/>
    <w:rsid w:val="4F3775E0"/>
    <w:rsid w:val="4F95136A"/>
    <w:rsid w:val="4FBB6EB0"/>
    <w:rsid w:val="4FE72267"/>
    <w:rsid w:val="4FFD193D"/>
    <w:rsid w:val="500E10AF"/>
    <w:rsid w:val="50176C0F"/>
    <w:rsid w:val="501F7B95"/>
    <w:rsid w:val="502046A4"/>
    <w:rsid w:val="502823B9"/>
    <w:rsid w:val="50311825"/>
    <w:rsid w:val="50465CA9"/>
    <w:rsid w:val="504B5E71"/>
    <w:rsid w:val="50504B33"/>
    <w:rsid w:val="505A3BDE"/>
    <w:rsid w:val="505F3754"/>
    <w:rsid w:val="50917B30"/>
    <w:rsid w:val="50943E0D"/>
    <w:rsid w:val="50A20D17"/>
    <w:rsid w:val="50A4605D"/>
    <w:rsid w:val="50AC6E78"/>
    <w:rsid w:val="50B565E8"/>
    <w:rsid w:val="50C2460F"/>
    <w:rsid w:val="50CA42C2"/>
    <w:rsid w:val="50DF262A"/>
    <w:rsid w:val="50E961B4"/>
    <w:rsid w:val="50EC2AF4"/>
    <w:rsid w:val="51034031"/>
    <w:rsid w:val="512578B9"/>
    <w:rsid w:val="515417A6"/>
    <w:rsid w:val="51642F65"/>
    <w:rsid w:val="517F4786"/>
    <w:rsid w:val="51857924"/>
    <w:rsid w:val="51903C9C"/>
    <w:rsid w:val="51A553DD"/>
    <w:rsid w:val="51A74F35"/>
    <w:rsid w:val="51ED095D"/>
    <w:rsid w:val="51FC2388"/>
    <w:rsid w:val="5202476D"/>
    <w:rsid w:val="52083F65"/>
    <w:rsid w:val="521259BD"/>
    <w:rsid w:val="5269647B"/>
    <w:rsid w:val="5272221A"/>
    <w:rsid w:val="52891B7D"/>
    <w:rsid w:val="529450F0"/>
    <w:rsid w:val="529B4336"/>
    <w:rsid w:val="52B91055"/>
    <w:rsid w:val="52DB5D80"/>
    <w:rsid w:val="52E937A5"/>
    <w:rsid w:val="52F5164A"/>
    <w:rsid w:val="53134F03"/>
    <w:rsid w:val="53313159"/>
    <w:rsid w:val="533E5DF5"/>
    <w:rsid w:val="53443438"/>
    <w:rsid w:val="53574B86"/>
    <w:rsid w:val="53603D67"/>
    <w:rsid w:val="53861BE4"/>
    <w:rsid w:val="53DF247D"/>
    <w:rsid w:val="53E701A0"/>
    <w:rsid w:val="53F0410C"/>
    <w:rsid w:val="53F57FB6"/>
    <w:rsid w:val="53F95FC5"/>
    <w:rsid w:val="5412588F"/>
    <w:rsid w:val="54134430"/>
    <w:rsid w:val="541C0A31"/>
    <w:rsid w:val="541C62AC"/>
    <w:rsid w:val="542005C1"/>
    <w:rsid w:val="544809EA"/>
    <w:rsid w:val="544942E0"/>
    <w:rsid w:val="54546791"/>
    <w:rsid w:val="54606A7B"/>
    <w:rsid w:val="546970A9"/>
    <w:rsid w:val="54840398"/>
    <w:rsid w:val="54844A42"/>
    <w:rsid w:val="548557F2"/>
    <w:rsid w:val="54AC58BB"/>
    <w:rsid w:val="54B67D7C"/>
    <w:rsid w:val="54D2531E"/>
    <w:rsid w:val="54EF7507"/>
    <w:rsid w:val="55087C2C"/>
    <w:rsid w:val="55156FE6"/>
    <w:rsid w:val="55381DE8"/>
    <w:rsid w:val="553C4AA2"/>
    <w:rsid w:val="554F0586"/>
    <w:rsid w:val="555F0D08"/>
    <w:rsid w:val="556565EB"/>
    <w:rsid w:val="5599459B"/>
    <w:rsid w:val="55D25FE3"/>
    <w:rsid w:val="55DB3208"/>
    <w:rsid w:val="56035375"/>
    <w:rsid w:val="56122EF8"/>
    <w:rsid w:val="561640AD"/>
    <w:rsid w:val="563343C8"/>
    <w:rsid w:val="56465DDB"/>
    <w:rsid w:val="56820CC2"/>
    <w:rsid w:val="569D64EB"/>
    <w:rsid w:val="56AC5327"/>
    <w:rsid w:val="570022BB"/>
    <w:rsid w:val="57006263"/>
    <w:rsid w:val="57037937"/>
    <w:rsid w:val="57051323"/>
    <w:rsid w:val="572A4A6B"/>
    <w:rsid w:val="573B4A99"/>
    <w:rsid w:val="5755333E"/>
    <w:rsid w:val="576B0811"/>
    <w:rsid w:val="57875E85"/>
    <w:rsid w:val="57B97296"/>
    <w:rsid w:val="57BA719C"/>
    <w:rsid w:val="57BD53D9"/>
    <w:rsid w:val="57CF7B6C"/>
    <w:rsid w:val="57D508FC"/>
    <w:rsid w:val="57DC653B"/>
    <w:rsid w:val="57F3507D"/>
    <w:rsid w:val="580A094B"/>
    <w:rsid w:val="582207F3"/>
    <w:rsid w:val="583774B0"/>
    <w:rsid w:val="583A4160"/>
    <w:rsid w:val="58671A06"/>
    <w:rsid w:val="587454CC"/>
    <w:rsid w:val="58934800"/>
    <w:rsid w:val="58957BA8"/>
    <w:rsid w:val="589E1BBA"/>
    <w:rsid w:val="58A24244"/>
    <w:rsid w:val="58AA2CB6"/>
    <w:rsid w:val="58B63628"/>
    <w:rsid w:val="58BB3318"/>
    <w:rsid w:val="58D62C96"/>
    <w:rsid w:val="58F4053E"/>
    <w:rsid w:val="590B33F8"/>
    <w:rsid w:val="59214D2E"/>
    <w:rsid w:val="5962719D"/>
    <w:rsid w:val="59657276"/>
    <w:rsid w:val="59730EB3"/>
    <w:rsid w:val="5976669E"/>
    <w:rsid w:val="598F41F6"/>
    <w:rsid w:val="59A00881"/>
    <w:rsid w:val="59B771AD"/>
    <w:rsid w:val="59BA54CC"/>
    <w:rsid w:val="59CA764C"/>
    <w:rsid w:val="59CB6BFA"/>
    <w:rsid w:val="59CC55F1"/>
    <w:rsid w:val="59E74266"/>
    <w:rsid w:val="59EC5FE7"/>
    <w:rsid w:val="59F039FB"/>
    <w:rsid w:val="5A0638AD"/>
    <w:rsid w:val="5A126E96"/>
    <w:rsid w:val="5A136211"/>
    <w:rsid w:val="5A145DE7"/>
    <w:rsid w:val="5A290B1D"/>
    <w:rsid w:val="5A595137"/>
    <w:rsid w:val="5A6837D9"/>
    <w:rsid w:val="5A79676E"/>
    <w:rsid w:val="5A991D17"/>
    <w:rsid w:val="5AB25269"/>
    <w:rsid w:val="5ABD7B5A"/>
    <w:rsid w:val="5AEF7A90"/>
    <w:rsid w:val="5AFF7241"/>
    <w:rsid w:val="5B03308B"/>
    <w:rsid w:val="5B1007ED"/>
    <w:rsid w:val="5B220D98"/>
    <w:rsid w:val="5B232252"/>
    <w:rsid w:val="5B2B11F5"/>
    <w:rsid w:val="5B315714"/>
    <w:rsid w:val="5B352A79"/>
    <w:rsid w:val="5B453B2F"/>
    <w:rsid w:val="5B4663A3"/>
    <w:rsid w:val="5B8E3FA6"/>
    <w:rsid w:val="5B8F6E01"/>
    <w:rsid w:val="5B9676B4"/>
    <w:rsid w:val="5BA41908"/>
    <w:rsid w:val="5BE4769E"/>
    <w:rsid w:val="5BF77EF4"/>
    <w:rsid w:val="5C024917"/>
    <w:rsid w:val="5C102159"/>
    <w:rsid w:val="5C162428"/>
    <w:rsid w:val="5C226257"/>
    <w:rsid w:val="5C327061"/>
    <w:rsid w:val="5C3D6F95"/>
    <w:rsid w:val="5C6B6C1B"/>
    <w:rsid w:val="5C901244"/>
    <w:rsid w:val="5C982F89"/>
    <w:rsid w:val="5CCB2DCD"/>
    <w:rsid w:val="5CE41631"/>
    <w:rsid w:val="5CFA26B5"/>
    <w:rsid w:val="5D023A7A"/>
    <w:rsid w:val="5D6E5F12"/>
    <w:rsid w:val="5D76101E"/>
    <w:rsid w:val="5D797989"/>
    <w:rsid w:val="5D7A3BB6"/>
    <w:rsid w:val="5D9179E9"/>
    <w:rsid w:val="5D98265D"/>
    <w:rsid w:val="5DAF1603"/>
    <w:rsid w:val="5DB76527"/>
    <w:rsid w:val="5DDF72F9"/>
    <w:rsid w:val="5DE377B1"/>
    <w:rsid w:val="5DE63AF6"/>
    <w:rsid w:val="5DEA4B87"/>
    <w:rsid w:val="5DF21FF8"/>
    <w:rsid w:val="5DF7493D"/>
    <w:rsid w:val="5E1133BD"/>
    <w:rsid w:val="5E1223C5"/>
    <w:rsid w:val="5E126FBA"/>
    <w:rsid w:val="5E3004CB"/>
    <w:rsid w:val="5E3A6883"/>
    <w:rsid w:val="5EC50765"/>
    <w:rsid w:val="5ECD7C6A"/>
    <w:rsid w:val="5ED13107"/>
    <w:rsid w:val="5ED73600"/>
    <w:rsid w:val="5EE05471"/>
    <w:rsid w:val="5EFC34CD"/>
    <w:rsid w:val="5F1B5299"/>
    <w:rsid w:val="5F1F5BF9"/>
    <w:rsid w:val="5F277FBB"/>
    <w:rsid w:val="5F2F357C"/>
    <w:rsid w:val="5F3803AB"/>
    <w:rsid w:val="5F3A2EB9"/>
    <w:rsid w:val="5F49299D"/>
    <w:rsid w:val="5F586D18"/>
    <w:rsid w:val="5F8E07E5"/>
    <w:rsid w:val="5F983BF6"/>
    <w:rsid w:val="5FA14959"/>
    <w:rsid w:val="5FC70D92"/>
    <w:rsid w:val="5FF426D6"/>
    <w:rsid w:val="5FFA377F"/>
    <w:rsid w:val="60071B82"/>
    <w:rsid w:val="60173112"/>
    <w:rsid w:val="60174549"/>
    <w:rsid w:val="60190C1F"/>
    <w:rsid w:val="601962C9"/>
    <w:rsid w:val="602768DB"/>
    <w:rsid w:val="603B48C8"/>
    <w:rsid w:val="603E78D3"/>
    <w:rsid w:val="60492FA1"/>
    <w:rsid w:val="6067284D"/>
    <w:rsid w:val="6088503C"/>
    <w:rsid w:val="608A56C7"/>
    <w:rsid w:val="608C7256"/>
    <w:rsid w:val="60A73CB4"/>
    <w:rsid w:val="60B9497D"/>
    <w:rsid w:val="60EC2838"/>
    <w:rsid w:val="611775F4"/>
    <w:rsid w:val="611A7E07"/>
    <w:rsid w:val="611F7F1D"/>
    <w:rsid w:val="61793A27"/>
    <w:rsid w:val="61973182"/>
    <w:rsid w:val="61A82D92"/>
    <w:rsid w:val="61A92AD9"/>
    <w:rsid w:val="61B5024F"/>
    <w:rsid w:val="61B54872"/>
    <w:rsid w:val="61C839B1"/>
    <w:rsid w:val="61D91CD9"/>
    <w:rsid w:val="6201046A"/>
    <w:rsid w:val="62137A18"/>
    <w:rsid w:val="625042FF"/>
    <w:rsid w:val="627F080C"/>
    <w:rsid w:val="6292176D"/>
    <w:rsid w:val="62C44DBF"/>
    <w:rsid w:val="62C86917"/>
    <w:rsid w:val="62E805B1"/>
    <w:rsid w:val="62E970CA"/>
    <w:rsid w:val="62F812DB"/>
    <w:rsid w:val="630E6961"/>
    <w:rsid w:val="633869B9"/>
    <w:rsid w:val="633A355F"/>
    <w:rsid w:val="633F1673"/>
    <w:rsid w:val="636173B9"/>
    <w:rsid w:val="63AD0A58"/>
    <w:rsid w:val="63B307BC"/>
    <w:rsid w:val="63E41F20"/>
    <w:rsid w:val="63E7206A"/>
    <w:rsid w:val="63E73E74"/>
    <w:rsid w:val="63EA37EE"/>
    <w:rsid w:val="63F467B3"/>
    <w:rsid w:val="63F53CF2"/>
    <w:rsid w:val="63FD4238"/>
    <w:rsid w:val="64032818"/>
    <w:rsid w:val="640D58CD"/>
    <w:rsid w:val="642B7D4B"/>
    <w:rsid w:val="642E337B"/>
    <w:rsid w:val="64A618FA"/>
    <w:rsid w:val="64B136F6"/>
    <w:rsid w:val="64B13B58"/>
    <w:rsid w:val="64C6702C"/>
    <w:rsid w:val="64D902DC"/>
    <w:rsid w:val="64E76A90"/>
    <w:rsid w:val="64EB4C2B"/>
    <w:rsid w:val="64EB63C6"/>
    <w:rsid w:val="64EC3A2A"/>
    <w:rsid w:val="6502635D"/>
    <w:rsid w:val="65497ADA"/>
    <w:rsid w:val="65797DB5"/>
    <w:rsid w:val="659E00D7"/>
    <w:rsid w:val="65A00535"/>
    <w:rsid w:val="65A4159C"/>
    <w:rsid w:val="65BB30C9"/>
    <w:rsid w:val="65BE0081"/>
    <w:rsid w:val="65CD1834"/>
    <w:rsid w:val="65E74046"/>
    <w:rsid w:val="65EE56B8"/>
    <w:rsid w:val="65EF6E39"/>
    <w:rsid w:val="65FD7111"/>
    <w:rsid w:val="66242347"/>
    <w:rsid w:val="66380A9E"/>
    <w:rsid w:val="663D647B"/>
    <w:rsid w:val="665113EE"/>
    <w:rsid w:val="665B4000"/>
    <w:rsid w:val="66693C8D"/>
    <w:rsid w:val="667773F1"/>
    <w:rsid w:val="66876EF2"/>
    <w:rsid w:val="66B9465C"/>
    <w:rsid w:val="66C32801"/>
    <w:rsid w:val="66D46BAB"/>
    <w:rsid w:val="66DA0468"/>
    <w:rsid w:val="67042073"/>
    <w:rsid w:val="67125AC9"/>
    <w:rsid w:val="672A0023"/>
    <w:rsid w:val="672B508F"/>
    <w:rsid w:val="672C6FF0"/>
    <w:rsid w:val="67426CE4"/>
    <w:rsid w:val="674F55E8"/>
    <w:rsid w:val="675356A9"/>
    <w:rsid w:val="67587A01"/>
    <w:rsid w:val="676F7B14"/>
    <w:rsid w:val="677A17D2"/>
    <w:rsid w:val="678403A6"/>
    <w:rsid w:val="67B24858"/>
    <w:rsid w:val="67BA148D"/>
    <w:rsid w:val="67C94C9C"/>
    <w:rsid w:val="67DA4A82"/>
    <w:rsid w:val="67E01E23"/>
    <w:rsid w:val="67F253DD"/>
    <w:rsid w:val="67F674E9"/>
    <w:rsid w:val="682473CB"/>
    <w:rsid w:val="685226BA"/>
    <w:rsid w:val="685E0FE1"/>
    <w:rsid w:val="68702EF7"/>
    <w:rsid w:val="68712C94"/>
    <w:rsid w:val="68932E6C"/>
    <w:rsid w:val="68941A08"/>
    <w:rsid w:val="68B158F6"/>
    <w:rsid w:val="68C01C7B"/>
    <w:rsid w:val="69046FA0"/>
    <w:rsid w:val="6906436F"/>
    <w:rsid w:val="690864AC"/>
    <w:rsid w:val="69156C0D"/>
    <w:rsid w:val="691577D1"/>
    <w:rsid w:val="691D23E0"/>
    <w:rsid w:val="69202BB7"/>
    <w:rsid w:val="69202F82"/>
    <w:rsid w:val="69242406"/>
    <w:rsid w:val="69254274"/>
    <w:rsid w:val="69387987"/>
    <w:rsid w:val="69464E4D"/>
    <w:rsid w:val="694B6780"/>
    <w:rsid w:val="69662BF3"/>
    <w:rsid w:val="69761FF0"/>
    <w:rsid w:val="69774871"/>
    <w:rsid w:val="697A5B23"/>
    <w:rsid w:val="69941590"/>
    <w:rsid w:val="69987F46"/>
    <w:rsid w:val="69AC5364"/>
    <w:rsid w:val="69B54FD9"/>
    <w:rsid w:val="69CC08A0"/>
    <w:rsid w:val="69CC46C9"/>
    <w:rsid w:val="69DC0CF7"/>
    <w:rsid w:val="69E162BB"/>
    <w:rsid w:val="69E41B66"/>
    <w:rsid w:val="6A230078"/>
    <w:rsid w:val="6A4333E4"/>
    <w:rsid w:val="6A607D15"/>
    <w:rsid w:val="6A6622B1"/>
    <w:rsid w:val="6A70714A"/>
    <w:rsid w:val="6A7800EF"/>
    <w:rsid w:val="6A7B50CD"/>
    <w:rsid w:val="6AB40412"/>
    <w:rsid w:val="6AB67F05"/>
    <w:rsid w:val="6AC85D9D"/>
    <w:rsid w:val="6AD7460E"/>
    <w:rsid w:val="6AE05A45"/>
    <w:rsid w:val="6AE13C82"/>
    <w:rsid w:val="6AF2109A"/>
    <w:rsid w:val="6AF94006"/>
    <w:rsid w:val="6AF967A0"/>
    <w:rsid w:val="6B1E0D9B"/>
    <w:rsid w:val="6B1E4C0E"/>
    <w:rsid w:val="6B3F46C6"/>
    <w:rsid w:val="6B451C6F"/>
    <w:rsid w:val="6B461D26"/>
    <w:rsid w:val="6B7D2E5B"/>
    <w:rsid w:val="6B890222"/>
    <w:rsid w:val="6BAC0B87"/>
    <w:rsid w:val="6BB22E2F"/>
    <w:rsid w:val="6BC5589D"/>
    <w:rsid w:val="6BDF5F53"/>
    <w:rsid w:val="6C0503AD"/>
    <w:rsid w:val="6C057467"/>
    <w:rsid w:val="6C1E689F"/>
    <w:rsid w:val="6C2546F7"/>
    <w:rsid w:val="6C2562E4"/>
    <w:rsid w:val="6C422FCA"/>
    <w:rsid w:val="6C43467E"/>
    <w:rsid w:val="6C550BE8"/>
    <w:rsid w:val="6CA10D20"/>
    <w:rsid w:val="6CDD247E"/>
    <w:rsid w:val="6CE70A90"/>
    <w:rsid w:val="6CEA4CE6"/>
    <w:rsid w:val="6D0252AE"/>
    <w:rsid w:val="6D032CC5"/>
    <w:rsid w:val="6D101AFC"/>
    <w:rsid w:val="6D1B7C30"/>
    <w:rsid w:val="6D3165EF"/>
    <w:rsid w:val="6D3B443E"/>
    <w:rsid w:val="6D3E5248"/>
    <w:rsid w:val="6D4A6418"/>
    <w:rsid w:val="6D572F93"/>
    <w:rsid w:val="6D733DC9"/>
    <w:rsid w:val="6D8B2E85"/>
    <w:rsid w:val="6D980CFE"/>
    <w:rsid w:val="6D9B3D49"/>
    <w:rsid w:val="6DA514C3"/>
    <w:rsid w:val="6DB61AA5"/>
    <w:rsid w:val="6DB9056F"/>
    <w:rsid w:val="6DBA05AB"/>
    <w:rsid w:val="6DC87DCD"/>
    <w:rsid w:val="6DCD7BF1"/>
    <w:rsid w:val="6DD2546C"/>
    <w:rsid w:val="6DE16D9C"/>
    <w:rsid w:val="6E1D183F"/>
    <w:rsid w:val="6E1E003F"/>
    <w:rsid w:val="6E2D0BB3"/>
    <w:rsid w:val="6E6F2F93"/>
    <w:rsid w:val="6E7A5A1C"/>
    <w:rsid w:val="6E9B09E7"/>
    <w:rsid w:val="6ED45E93"/>
    <w:rsid w:val="6EE62A6A"/>
    <w:rsid w:val="6EFE24AE"/>
    <w:rsid w:val="6F0354E5"/>
    <w:rsid w:val="6F057E16"/>
    <w:rsid w:val="6F13399E"/>
    <w:rsid w:val="6F222505"/>
    <w:rsid w:val="6F2A3FC6"/>
    <w:rsid w:val="6F2B1E4D"/>
    <w:rsid w:val="6F2C4BFF"/>
    <w:rsid w:val="6F36360B"/>
    <w:rsid w:val="6F4468FE"/>
    <w:rsid w:val="6F6D1650"/>
    <w:rsid w:val="6F6E4CA3"/>
    <w:rsid w:val="6F713270"/>
    <w:rsid w:val="6F8F7A40"/>
    <w:rsid w:val="6FAB5ECE"/>
    <w:rsid w:val="6FC53B02"/>
    <w:rsid w:val="6FC71100"/>
    <w:rsid w:val="6FC83C81"/>
    <w:rsid w:val="6FE5551A"/>
    <w:rsid w:val="6FE66E49"/>
    <w:rsid w:val="7003225E"/>
    <w:rsid w:val="70037069"/>
    <w:rsid w:val="70090582"/>
    <w:rsid w:val="700F241C"/>
    <w:rsid w:val="70171BE4"/>
    <w:rsid w:val="701A47CA"/>
    <w:rsid w:val="70235B53"/>
    <w:rsid w:val="70243675"/>
    <w:rsid w:val="704B365B"/>
    <w:rsid w:val="704B74EC"/>
    <w:rsid w:val="70552C40"/>
    <w:rsid w:val="705826B2"/>
    <w:rsid w:val="705D1EC8"/>
    <w:rsid w:val="70623D62"/>
    <w:rsid w:val="70664B9D"/>
    <w:rsid w:val="70A67E76"/>
    <w:rsid w:val="70CD5A8C"/>
    <w:rsid w:val="70EB4D6F"/>
    <w:rsid w:val="70EE60DC"/>
    <w:rsid w:val="710A2FD0"/>
    <w:rsid w:val="710B0FC9"/>
    <w:rsid w:val="71202A40"/>
    <w:rsid w:val="714829B2"/>
    <w:rsid w:val="71B45316"/>
    <w:rsid w:val="71B55189"/>
    <w:rsid w:val="71D015D1"/>
    <w:rsid w:val="71DC68D1"/>
    <w:rsid w:val="71E73849"/>
    <w:rsid w:val="71EA03B7"/>
    <w:rsid w:val="71F81C58"/>
    <w:rsid w:val="71FA53E6"/>
    <w:rsid w:val="720D05E3"/>
    <w:rsid w:val="72216288"/>
    <w:rsid w:val="722E5DAE"/>
    <w:rsid w:val="724A559D"/>
    <w:rsid w:val="72C76139"/>
    <w:rsid w:val="72D20F88"/>
    <w:rsid w:val="72D52DFB"/>
    <w:rsid w:val="72E05562"/>
    <w:rsid w:val="72E852C7"/>
    <w:rsid w:val="72EC5574"/>
    <w:rsid w:val="7300666B"/>
    <w:rsid w:val="73017B04"/>
    <w:rsid w:val="730471E0"/>
    <w:rsid w:val="730E1EFB"/>
    <w:rsid w:val="733778B4"/>
    <w:rsid w:val="73492750"/>
    <w:rsid w:val="73583660"/>
    <w:rsid w:val="73616ABC"/>
    <w:rsid w:val="73747A59"/>
    <w:rsid w:val="73793139"/>
    <w:rsid w:val="737C448D"/>
    <w:rsid w:val="738A6BAD"/>
    <w:rsid w:val="73910F1F"/>
    <w:rsid w:val="739167DA"/>
    <w:rsid w:val="739943AC"/>
    <w:rsid w:val="73A75A3C"/>
    <w:rsid w:val="73D9051D"/>
    <w:rsid w:val="73E83652"/>
    <w:rsid w:val="73FC4A4A"/>
    <w:rsid w:val="73FF5865"/>
    <w:rsid w:val="740138BC"/>
    <w:rsid w:val="740F28E3"/>
    <w:rsid w:val="741E08BA"/>
    <w:rsid w:val="74566BC0"/>
    <w:rsid w:val="746213A9"/>
    <w:rsid w:val="74627923"/>
    <w:rsid w:val="746B6F6E"/>
    <w:rsid w:val="746E3821"/>
    <w:rsid w:val="749331F8"/>
    <w:rsid w:val="74AE53EF"/>
    <w:rsid w:val="74C04DD9"/>
    <w:rsid w:val="74CD648D"/>
    <w:rsid w:val="74E95DDF"/>
    <w:rsid w:val="750B44FF"/>
    <w:rsid w:val="75156208"/>
    <w:rsid w:val="751E2E09"/>
    <w:rsid w:val="75247D31"/>
    <w:rsid w:val="756415E7"/>
    <w:rsid w:val="7565467F"/>
    <w:rsid w:val="75733191"/>
    <w:rsid w:val="75B15D73"/>
    <w:rsid w:val="75B72AFE"/>
    <w:rsid w:val="75C12B48"/>
    <w:rsid w:val="75CA44F0"/>
    <w:rsid w:val="75CB090F"/>
    <w:rsid w:val="760C7611"/>
    <w:rsid w:val="761A2389"/>
    <w:rsid w:val="7637442D"/>
    <w:rsid w:val="764F3F97"/>
    <w:rsid w:val="76533F31"/>
    <w:rsid w:val="76C30285"/>
    <w:rsid w:val="76CE62BA"/>
    <w:rsid w:val="76CF4F9B"/>
    <w:rsid w:val="76DA518C"/>
    <w:rsid w:val="76DC7579"/>
    <w:rsid w:val="76DD64E5"/>
    <w:rsid w:val="77014AB0"/>
    <w:rsid w:val="7706282B"/>
    <w:rsid w:val="770A6ACB"/>
    <w:rsid w:val="770C145C"/>
    <w:rsid w:val="77152585"/>
    <w:rsid w:val="773810BB"/>
    <w:rsid w:val="77793F2D"/>
    <w:rsid w:val="77873D98"/>
    <w:rsid w:val="779924F8"/>
    <w:rsid w:val="77B46FD8"/>
    <w:rsid w:val="77C05245"/>
    <w:rsid w:val="77D30A01"/>
    <w:rsid w:val="77D600B8"/>
    <w:rsid w:val="77DE5F22"/>
    <w:rsid w:val="77F05565"/>
    <w:rsid w:val="77F91A2C"/>
    <w:rsid w:val="78221902"/>
    <w:rsid w:val="78240954"/>
    <w:rsid w:val="78266A5C"/>
    <w:rsid w:val="7847279C"/>
    <w:rsid w:val="785B43F7"/>
    <w:rsid w:val="7874511B"/>
    <w:rsid w:val="78B33E11"/>
    <w:rsid w:val="78B50EF6"/>
    <w:rsid w:val="78C03D6C"/>
    <w:rsid w:val="78DA65F0"/>
    <w:rsid w:val="78E052AD"/>
    <w:rsid w:val="78E545A1"/>
    <w:rsid w:val="78F83160"/>
    <w:rsid w:val="78FF3D6A"/>
    <w:rsid w:val="790B086C"/>
    <w:rsid w:val="79145074"/>
    <w:rsid w:val="79385214"/>
    <w:rsid w:val="793F3B19"/>
    <w:rsid w:val="7942271A"/>
    <w:rsid w:val="7947125C"/>
    <w:rsid w:val="79496BE0"/>
    <w:rsid w:val="796A1D5E"/>
    <w:rsid w:val="79870F22"/>
    <w:rsid w:val="79943AB9"/>
    <w:rsid w:val="79C62691"/>
    <w:rsid w:val="79DA03A9"/>
    <w:rsid w:val="79DA492D"/>
    <w:rsid w:val="79DD7AD0"/>
    <w:rsid w:val="79F90AE4"/>
    <w:rsid w:val="79FE5DA4"/>
    <w:rsid w:val="7A0612E7"/>
    <w:rsid w:val="7A0C2386"/>
    <w:rsid w:val="7A0E5D0F"/>
    <w:rsid w:val="7A1E6313"/>
    <w:rsid w:val="7A374813"/>
    <w:rsid w:val="7A856247"/>
    <w:rsid w:val="7AA63430"/>
    <w:rsid w:val="7ABD4CCC"/>
    <w:rsid w:val="7AD122B2"/>
    <w:rsid w:val="7AEF43FB"/>
    <w:rsid w:val="7AF74FE2"/>
    <w:rsid w:val="7AFB6F18"/>
    <w:rsid w:val="7AFF2AD2"/>
    <w:rsid w:val="7B082C85"/>
    <w:rsid w:val="7B0E1942"/>
    <w:rsid w:val="7B0E1E5D"/>
    <w:rsid w:val="7B132E51"/>
    <w:rsid w:val="7B147694"/>
    <w:rsid w:val="7B1C6690"/>
    <w:rsid w:val="7B2B31E3"/>
    <w:rsid w:val="7B301BB4"/>
    <w:rsid w:val="7B322EAB"/>
    <w:rsid w:val="7B50295A"/>
    <w:rsid w:val="7B5D7529"/>
    <w:rsid w:val="7B6C569A"/>
    <w:rsid w:val="7B6C5D42"/>
    <w:rsid w:val="7B6F22F1"/>
    <w:rsid w:val="7BA44AA8"/>
    <w:rsid w:val="7BAD072B"/>
    <w:rsid w:val="7BB33E17"/>
    <w:rsid w:val="7BB77B08"/>
    <w:rsid w:val="7BCE489C"/>
    <w:rsid w:val="7BE350C5"/>
    <w:rsid w:val="7BE94053"/>
    <w:rsid w:val="7BF251B3"/>
    <w:rsid w:val="7C0B707D"/>
    <w:rsid w:val="7C1C39F6"/>
    <w:rsid w:val="7C246366"/>
    <w:rsid w:val="7C6B6439"/>
    <w:rsid w:val="7CB00413"/>
    <w:rsid w:val="7CF7204C"/>
    <w:rsid w:val="7D0C0075"/>
    <w:rsid w:val="7D1A3401"/>
    <w:rsid w:val="7D381FDF"/>
    <w:rsid w:val="7D595A5D"/>
    <w:rsid w:val="7D620EB6"/>
    <w:rsid w:val="7D654D22"/>
    <w:rsid w:val="7D761672"/>
    <w:rsid w:val="7D8A4A33"/>
    <w:rsid w:val="7D8F3BD6"/>
    <w:rsid w:val="7D9974BB"/>
    <w:rsid w:val="7DC561F5"/>
    <w:rsid w:val="7DD25769"/>
    <w:rsid w:val="7DD515E3"/>
    <w:rsid w:val="7DDD05F7"/>
    <w:rsid w:val="7E07491E"/>
    <w:rsid w:val="7E186A2E"/>
    <w:rsid w:val="7E283CBC"/>
    <w:rsid w:val="7E2863F5"/>
    <w:rsid w:val="7E2E0A50"/>
    <w:rsid w:val="7E30213D"/>
    <w:rsid w:val="7E3A27D9"/>
    <w:rsid w:val="7E3E6FF7"/>
    <w:rsid w:val="7E4145E0"/>
    <w:rsid w:val="7E4E46D3"/>
    <w:rsid w:val="7E615519"/>
    <w:rsid w:val="7E906EED"/>
    <w:rsid w:val="7E963F11"/>
    <w:rsid w:val="7EA52844"/>
    <w:rsid w:val="7EA64900"/>
    <w:rsid w:val="7EA87894"/>
    <w:rsid w:val="7EB60168"/>
    <w:rsid w:val="7EBC4CAC"/>
    <w:rsid w:val="7ECC5631"/>
    <w:rsid w:val="7EDC280E"/>
    <w:rsid w:val="7EE50351"/>
    <w:rsid w:val="7EEA6A0F"/>
    <w:rsid w:val="7EFA0D76"/>
    <w:rsid w:val="7EFD2CD8"/>
    <w:rsid w:val="7EFF0079"/>
    <w:rsid w:val="7F6A4AA9"/>
    <w:rsid w:val="7F8406B3"/>
    <w:rsid w:val="7F993AE5"/>
    <w:rsid w:val="7F9D12F9"/>
    <w:rsid w:val="7FA84FE5"/>
    <w:rsid w:val="7FE224FE"/>
    <w:rsid w:val="7FFA00C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qFormat="1" w:unhideWhenUsed="0" w:uiPriority="0" w:semiHidden="0"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qFormat="1" w:unhideWhenUsed="0" w:uiPriority="99" w:semiHidden="0" w:name="List Bullet"/>
    <w:lsdException w:uiPriority="99" w:name="List Number"/>
    <w:lsdException w:uiPriority="99" w:name="List 2"/>
    <w:lsdException w:uiPriority="99" w:name="List 3"/>
    <w:lsdException w:uiPriority="99" w:name="List 4"/>
    <w:lsdException w:uiPriority="99"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qFormat="1" w:unhideWhenUsed="0" w:uiPriority="99" w:semiHidden="0"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62"/>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63"/>
    <w:qFormat/>
    <w:uiPriority w:val="99"/>
    <w:pPr>
      <w:keepNext/>
      <w:keepLines/>
      <w:spacing w:before="260" w:after="260" w:line="416" w:lineRule="auto"/>
      <w:outlineLvl w:val="1"/>
    </w:pPr>
    <w:rPr>
      <w:rFonts w:ascii="Arial" w:hAnsi="Arial" w:eastAsia="黑体" w:cs="Arial"/>
      <w:b/>
      <w:bCs/>
      <w:sz w:val="32"/>
      <w:szCs w:val="32"/>
    </w:rPr>
  </w:style>
  <w:style w:type="paragraph" w:styleId="6">
    <w:name w:val="heading 3"/>
    <w:basedOn w:val="1"/>
    <w:next w:val="1"/>
    <w:link w:val="64"/>
    <w:qFormat/>
    <w:uiPriority w:val="99"/>
    <w:pPr>
      <w:keepNext/>
      <w:keepLines/>
      <w:spacing w:before="260" w:after="260" w:line="416" w:lineRule="auto"/>
      <w:outlineLvl w:val="2"/>
    </w:pPr>
    <w:rPr>
      <w:b/>
      <w:bCs/>
      <w:sz w:val="32"/>
      <w:szCs w:val="32"/>
    </w:rPr>
  </w:style>
  <w:style w:type="paragraph" w:styleId="7">
    <w:name w:val="heading 4"/>
    <w:basedOn w:val="1"/>
    <w:next w:val="1"/>
    <w:link w:val="65"/>
    <w:qFormat/>
    <w:uiPriority w:val="99"/>
    <w:pPr>
      <w:keepNext/>
      <w:keepLines/>
      <w:spacing w:before="280" w:after="290" w:line="376" w:lineRule="auto"/>
      <w:outlineLvl w:val="3"/>
    </w:pPr>
    <w:rPr>
      <w:rFonts w:ascii="Arial" w:hAnsi="Arial" w:eastAsia="黑体" w:cs="Arial"/>
      <w:b/>
      <w:bCs/>
      <w:sz w:val="28"/>
      <w:szCs w:val="28"/>
    </w:rPr>
  </w:style>
  <w:style w:type="paragraph" w:styleId="8">
    <w:name w:val="heading 5"/>
    <w:basedOn w:val="1"/>
    <w:next w:val="1"/>
    <w:link w:val="66"/>
    <w:qFormat/>
    <w:uiPriority w:val="99"/>
    <w:pPr>
      <w:keepNext/>
      <w:keepLines/>
      <w:spacing w:before="280" w:after="290" w:line="376" w:lineRule="auto"/>
      <w:outlineLvl w:val="4"/>
    </w:pPr>
    <w:rPr>
      <w:b/>
      <w:bCs/>
      <w:sz w:val="28"/>
      <w:szCs w:val="28"/>
    </w:rPr>
  </w:style>
  <w:style w:type="paragraph" w:styleId="9">
    <w:name w:val="heading 6"/>
    <w:basedOn w:val="1"/>
    <w:next w:val="1"/>
    <w:link w:val="67"/>
    <w:qFormat/>
    <w:uiPriority w:val="99"/>
    <w:pPr>
      <w:keepNext/>
      <w:keepLines/>
      <w:widowControl/>
      <w:tabs>
        <w:tab w:val="left" w:pos="1440"/>
      </w:tabs>
      <w:spacing w:before="240" w:after="64" w:line="320" w:lineRule="auto"/>
      <w:ind w:left="1152" w:hanging="1152"/>
      <w:jc w:val="left"/>
      <w:outlineLvl w:val="5"/>
    </w:pPr>
    <w:rPr>
      <w:rFonts w:ascii="Arial" w:hAnsi="Arial" w:eastAsia="黑体" w:cs="Arial"/>
      <w:b/>
      <w:bCs/>
      <w:kern w:val="0"/>
      <w:sz w:val="24"/>
      <w:szCs w:val="24"/>
    </w:rPr>
  </w:style>
  <w:style w:type="paragraph" w:styleId="10">
    <w:name w:val="heading 7"/>
    <w:basedOn w:val="1"/>
    <w:next w:val="1"/>
    <w:link w:val="68"/>
    <w:qFormat/>
    <w:uiPriority w:val="99"/>
    <w:pPr>
      <w:keepNext/>
      <w:keepLines/>
      <w:widowControl/>
      <w:tabs>
        <w:tab w:val="left" w:pos="2520"/>
      </w:tabs>
      <w:spacing w:before="240" w:after="64" w:line="320" w:lineRule="auto"/>
      <w:ind w:left="1296" w:hanging="1296"/>
      <w:jc w:val="left"/>
      <w:outlineLvl w:val="6"/>
    </w:pPr>
    <w:rPr>
      <w:b/>
      <w:bCs/>
      <w:kern w:val="0"/>
      <w:sz w:val="24"/>
      <w:szCs w:val="24"/>
    </w:rPr>
  </w:style>
  <w:style w:type="paragraph" w:styleId="11">
    <w:name w:val="heading 8"/>
    <w:basedOn w:val="1"/>
    <w:next w:val="1"/>
    <w:link w:val="69"/>
    <w:qFormat/>
    <w:uiPriority w:val="99"/>
    <w:pPr>
      <w:keepNext/>
      <w:keepLines/>
      <w:widowControl/>
      <w:tabs>
        <w:tab w:val="left" w:pos="1440"/>
      </w:tabs>
      <w:spacing w:before="240" w:after="64" w:line="320" w:lineRule="auto"/>
      <w:ind w:left="1440" w:hanging="1440"/>
      <w:jc w:val="left"/>
      <w:outlineLvl w:val="7"/>
    </w:pPr>
    <w:rPr>
      <w:rFonts w:ascii="Arial" w:hAnsi="Arial" w:eastAsia="黑体" w:cs="Arial"/>
      <w:kern w:val="0"/>
      <w:sz w:val="24"/>
      <w:szCs w:val="24"/>
    </w:rPr>
  </w:style>
  <w:style w:type="paragraph" w:styleId="12">
    <w:name w:val="heading 9"/>
    <w:basedOn w:val="1"/>
    <w:next w:val="1"/>
    <w:link w:val="70"/>
    <w:qFormat/>
    <w:uiPriority w:val="99"/>
    <w:pPr>
      <w:keepNext/>
      <w:keepLines/>
      <w:widowControl/>
      <w:tabs>
        <w:tab w:val="left" w:pos="1584"/>
      </w:tabs>
      <w:spacing w:before="240" w:after="64" w:line="320" w:lineRule="auto"/>
      <w:ind w:left="1584" w:hanging="1584"/>
      <w:jc w:val="left"/>
      <w:outlineLvl w:val="8"/>
    </w:pPr>
    <w:rPr>
      <w:rFonts w:ascii="Arial" w:hAnsi="Arial" w:eastAsia="黑体" w:cs="Arial"/>
      <w:kern w:val="0"/>
    </w:rPr>
  </w:style>
  <w:style w:type="character" w:default="1" w:styleId="53">
    <w:name w:val="Default Paragraph Font"/>
    <w:semiHidden/>
    <w:unhideWhenUsed/>
    <w:qFormat/>
    <w:uiPriority w:val="1"/>
  </w:style>
  <w:style w:type="table" w:default="1" w:styleId="5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tabs>
        <w:tab w:val="left" w:pos="2020"/>
        <w:tab w:val="center" w:pos="4535"/>
      </w:tabs>
      <w:ind w:firstLine="420" w:firstLineChars="100"/>
    </w:pPr>
  </w:style>
  <w:style w:type="paragraph" w:styleId="3">
    <w:name w:val="Body Text"/>
    <w:basedOn w:val="1"/>
    <w:link w:val="76"/>
    <w:qFormat/>
    <w:uiPriority w:val="99"/>
    <w:pPr>
      <w:spacing w:after="120"/>
    </w:pPr>
  </w:style>
  <w:style w:type="paragraph" w:styleId="13">
    <w:name w:val="toc 7"/>
    <w:basedOn w:val="1"/>
    <w:next w:val="1"/>
    <w:semiHidden/>
    <w:qFormat/>
    <w:uiPriority w:val="99"/>
    <w:pPr>
      <w:ind w:left="2520" w:leftChars="1200"/>
    </w:pPr>
  </w:style>
  <w:style w:type="paragraph" w:styleId="14">
    <w:name w:val="List Bullet 4"/>
    <w:basedOn w:val="1"/>
    <w:qFormat/>
    <w:uiPriority w:val="99"/>
    <w:pPr>
      <w:tabs>
        <w:tab w:val="left" w:pos="1620"/>
      </w:tabs>
      <w:ind w:left="1620" w:leftChars="600" w:hanging="360" w:hangingChars="200"/>
    </w:pPr>
  </w:style>
  <w:style w:type="paragraph" w:styleId="15">
    <w:name w:val="Normal Indent"/>
    <w:basedOn w:val="1"/>
    <w:link w:val="90"/>
    <w:qFormat/>
    <w:uiPriority w:val="99"/>
    <w:pPr>
      <w:ind w:firstLine="420" w:firstLineChars="200"/>
    </w:pPr>
  </w:style>
  <w:style w:type="paragraph" w:styleId="16">
    <w:name w:val="caption"/>
    <w:basedOn w:val="1"/>
    <w:next w:val="1"/>
    <w:qFormat/>
    <w:uiPriority w:val="99"/>
    <w:pPr>
      <w:keepNext/>
      <w:adjustRightInd w:val="0"/>
      <w:snapToGrid w:val="0"/>
      <w:spacing w:after="120"/>
      <w:jc w:val="center"/>
    </w:pPr>
    <w:rPr>
      <w:rFonts w:ascii="Arial" w:hAnsi="Arial" w:eastAsia="黑体" w:cs="Arial"/>
      <w:sz w:val="20"/>
      <w:szCs w:val="20"/>
    </w:rPr>
  </w:style>
  <w:style w:type="paragraph" w:styleId="17">
    <w:name w:val="List Bullet"/>
    <w:basedOn w:val="1"/>
    <w:qFormat/>
    <w:uiPriority w:val="99"/>
    <w:pPr>
      <w:tabs>
        <w:tab w:val="left" w:pos="360"/>
      </w:tabs>
      <w:ind w:left="360" w:hanging="360" w:hangingChars="200"/>
    </w:pPr>
  </w:style>
  <w:style w:type="paragraph" w:styleId="18">
    <w:name w:val="Document Map"/>
    <w:basedOn w:val="1"/>
    <w:link w:val="74"/>
    <w:semiHidden/>
    <w:qFormat/>
    <w:uiPriority w:val="99"/>
    <w:pPr>
      <w:shd w:val="clear" w:color="auto" w:fill="000080"/>
    </w:pPr>
  </w:style>
  <w:style w:type="paragraph" w:styleId="19">
    <w:name w:val="annotation text"/>
    <w:basedOn w:val="1"/>
    <w:link w:val="71"/>
    <w:semiHidden/>
    <w:qFormat/>
    <w:uiPriority w:val="99"/>
    <w:pPr>
      <w:jc w:val="left"/>
    </w:pPr>
  </w:style>
  <w:style w:type="paragraph" w:styleId="20">
    <w:name w:val="Body Text 3"/>
    <w:basedOn w:val="1"/>
    <w:link w:val="75"/>
    <w:qFormat/>
    <w:uiPriority w:val="99"/>
    <w:rPr>
      <w:rFonts w:ascii="宋体" w:cs="宋体"/>
      <w:sz w:val="24"/>
      <w:szCs w:val="24"/>
    </w:rPr>
  </w:style>
  <w:style w:type="paragraph" w:styleId="21">
    <w:name w:val="List Bullet 3"/>
    <w:basedOn w:val="1"/>
    <w:qFormat/>
    <w:uiPriority w:val="99"/>
    <w:pPr>
      <w:tabs>
        <w:tab w:val="left" w:pos="1200"/>
      </w:tabs>
      <w:ind w:left="1200" w:leftChars="400" w:hanging="360" w:hangingChars="200"/>
    </w:pPr>
  </w:style>
  <w:style w:type="paragraph" w:styleId="22">
    <w:name w:val="Body Text Indent"/>
    <w:basedOn w:val="1"/>
    <w:next w:val="23"/>
    <w:link w:val="77"/>
    <w:qFormat/>
    <w:uiPriority w:val="99"/>
    <w:pPr>
      <w:spacing w:after="120"/>
      <w:ind w:left="420" w:leftChars="200"/>
    </w:pPr>
  </w:style>
  <w:style w:type="paragraph" w:styleId="23">
    <w:name w:val="envelope return"/>
    <w:basedOn w:val="1"/>
    <w:qFormat/>
    <w:uiPriority w:val="0"/>
    <w:rPr>
      <w:rFonts w:ascii="Arial" w:hAnsi="Arial"/>
    </w:rPr>
  </w:style>
  <w:style w:type="paragraph" w:styleId="24">
    <w:name w:val="Block Text"/>
    <w:basedOn w:val="1"/>
    <w:qFormat/>
    <w:uiPriority w:val="99"/>
    <w:pPr>
      <w:adjustRightInd w:val="0"/>
      <w:spacing w:line="360" w:lineRule="auto"/>
      <w:ind w:left="1560" w:right="1466" w:hanging="240"/>
      <w:textAlignment w:val="baseline"/>
    </w:pPr>
    <w:rPr>
      <w:rFonts w:ascii="宋体" w:cs="宋体"/>
      <w:color w:val="000000"/>
      <w:kern w:val="0"/>
      <w:position w:val="-6"/>
      <w:sz w:val="32"/>
      <w:szCs w:val="32"/>
    </w:rPr>
  </w:style>
  <w:style w:type="paragraph" w:styleId="25">
    <w:name w:val="List Bullet 2"/>
    <w:basedOn w:val="1"/>
    <w:qFormat/>
    <w:uiPriority w:val="99"/>
    <w:pPr>
      <w:tabs>
        <w:tab w:val="left" w:pos="780"/>
      </w:tabs>
      <w:ind w:left="780" w:leftChars="200" w:hanging="360" w:hangingChars="200"/>
    </w:pPr>
  </w:style>
  <w:style w:type="paragraph" w:styleId="26">
    <w:name w:val="toc 5"/>
    <w:basedOn w:val="1"/>
    <w:next w:val="1"/>
    <w:semiHidden/>
    <w:qFormat/>
    <w:uiPriority w:val="99"/>
    <w:pPr>
      <w:ind w:left="1680" w:leftChars="800"/>
    </w:pPr>
  </w:style>
  <w:style w:type="paragraph" w:styleId="27">
    <w:name w:val="toc 3"/>
    <w:basedOn w:val="1"/>
    <w:next w:val="1"/>
    <w:semiHidden/>
    <w:qFormat/>
    <w:uiPriority w:val="99"/>
    <w:pPr>
      <w:ind w:left="840" w:leftChars="400"/>
    </w:pPr>
  </w:style>
  <w:style w:type="paragraph" w:styleId="28">
    <w:name w:val="Plain Text"/>
    <w:basedOn w:val="1"/>
    <w:link w:val="78"/>
    <w:qFormat/>
    <w:uiPriority w:val="99"/>
    <w:pPr>
      <w:spacing w:line="360" w:lineRule="auto"/>
    </w:pPr>
    <w:rPr>
      <w:rFonts w:ascii="宋体" w:hAnsi="Courier New" w:cs="宋体"/>
      <w:sz w:val="24"/>
      <w:szCs w:val="24"/>
    </w:rPr>
  </w:style>
  <w:style w:type="paragraph" w:styleId="29">
    <w:name w:val="List Bullet 5"/>
    <w:basedOn w:val="1"/>
    <w:qFormat/>
    <w:uiPriority w:val="99"/>
    <w:pPr>
      <w:tabs>
        <w:tab w:val="left" w:pos="2040"/>
      </w:tabs>
      <w:ind w:left="2040" w:leftChars="800" w:hanging="360" w:hangingChars="200"/>
    </w:pPr>
  </w:style>
  <w:style w:type="paragraph" w:styleId="30">
    <w:name w:val="toc 8"/>
    <w:basedOn w:val="1"/>
    <w:next w:val="1"/>
    <w:semiHidden/>
    <w:qFormat/>
    <w:uiPriority w:val="99"/>
    <w:pPr>
      <w:spacing w:beforeLines="50" w:afterLines="50"/>
      <w:jc w:val="center"/>
    </w:pPr>
    <w:rPr>
      <w:rFonts w:eastAsia="黑体"/>
      <w:sz w:val="36"/>
      <w:szCs w:val="36"/>
    </w:rPr>
  </w:style>
  <w:style w:type="paragraph" w:styleId="31">
    <w:name w:val="Date"/>
    <w:basedOn w:val="1"/>
    <w:next w:val="1"/>
    <w:link w:val="79"/>
    <w:qFormat/>
    <w:uiPriority w:val="99"/>
    <w:rPr>
      <w:sz w:val="24"/>
      <w:szCs w:val="24"/>
    </w:rPr>
  </w:style>
  <w:style w:type="paragraph" w:styleId="32">
    <w:name w:val="Body Text Indent 2"/>
    <w:basedOn w:val="1"/>
    <w:link w:val="80"/>
    <w:qFormat/>
    <w:uiPriority w:val="99"/>
    <w:pPr>
      <w:spacing w:after="120" w:line="480" w:lineRule="auto"/>
      <w:ind w:left="420" w:leftChars="200"/>
    </w:pPr>
  </w:style>
  <w:style w:type="paragraph" w:styleId="33">
    <w:name w:val="Balloon Text"/>
    <w:basedOn w:val="1"/>
    <w:link w:val="81"/>
    <w:semiHidden/>
    <w:qFormat/>
    <w:uiPriority w:val="99"/>
    <w:rPr>
      <w:sz w:val="18"/>
      <w:szCs w:val="18"/>
    </w:rPr>
  </w:style>
  <w:style w:type="paragraph" w:styleId="34">
    <w:name w:val="footer"/>
    <w:basedOn w:val="1"/>
    <w:link w:val="82"/>
    <w:qFormat/>
    <w:uiPriority w:val="99"/>
    <w:pPr>
      <w:tabs>
        <w:tab w:val="center" w:pos="4153"/>
        <w:tab w:val="right" w:pos="8306"/>
      </w:tabs>
      <w:snapToGrid w:val="0"/>
      <w:jc w:val="left"/>
    </w:pPr>
    <w:rPr>
      <w:sz w:val="18"/>
      <w:szCs w:val="18"/>
    </w:rPr>
  </w:style>
  <w:style w:type="paragraph" w:styleId="35">
    <w:name w:val="header"/>
    <w:basedOn w:val="1"/>
    <w:link w:val="83"/>
    <w:qFormat/>
    <w:uiPriority w:val="99"/>
    <w:pPr>
      <w:pBdr>
        <w:bottom w:val="single" w:color="auto" w:sz="6" w:space="1"/>
      </w:pBdr>
      <w:tabs>
        <w:tab w:val="center" w:pos="4153"/>
        <w:tab w:val="right" w:pos="8306"/>
      </w:tabs>
      <w:snapToGrid w:val="0"/>
      <w:jc w:val="center"/>
    </w:pPr>
    <w:rPr>
      <w:sz w:val="18"/>
      <w:szCs w:val="18"/>
    </w:rPr>
  </w:style>
  <w:style w:type="paragraph" w:styleId="36">
    <w:name w:val="toc 1"/>
    <w:basedOn w:val="1"/>
    <w:next w:val="1"/>
    <w:semiHidden/>
    <w:qFormat/>
    <w:uiPriority w:val="99"/>
    <w:pPr>
      <w:spacing w:line="440" w:lineRule="exact"/>
      <w:jc w:val="center"/>
    </w:pPr>
  </w:style>
  <w:style w:type="paragraph" w:styleId="37">
    <w:name w:val="toc 4"/>
    <w:basedOn w:val="1"/>
    <w:next w:val="1"/>
    <w:semiHidden/>
    <w:qFormat/>
    <w:uiPriority w:val="99"/>
    <w:pPr>
      <w:ind w:left="1260" w:leftChars="600"/>
    </w:pPr>
  </w:style>
  <w:style w:type="paragraph" w:styleId="38">
    <w:name w:val="List"/>
    <w:basedOn w:val="1"/>
    <w:qFormat/>
    <w:uiPriority w:val="99"/>
    <w:pPr>
      <w:ind w:left="200" w:hanging="200" w:hangingChars="200"/>
    </w:pPr>
  </w:style>
  <w:style w:type="paragraph" w:styleId="39">
    <w:name w:val="footnote text"/>
    <w:basedOn w:val="1"/>
    <w:link w:val="73"/>
    <w:semiHidden/>
    <w:qFormat/>
    <w:uiPriority w:val="99"/>
    <w:pPr>
      <w:snapToGrid w:val="0"/>
      <w:jc w:val="left"/>
    </w:pPr>
    <w:rPr>
      <w:sz w:val="18"/>
      <w:szCs w:val="18"/>
    </w:rPr>
  </w:style>
  <w:style w:type="paragraph" w:styleId="40">
    <w:name w:val="toc 6"/>
    <w:basedOn w:val="1"/>
    <w:next w:val="1"/>
    <w:semiHidden/>
    <w:qFormat/>
    <w:uiPriority w:val="99"/>
    <w:pPr>
      <w:ind w:left="2100" w:leftChars="1000"/>
    </w:pPr>
  </w:style>
  <w:style w:type="paragraph" w:styleId="41">
    <w:name w:val="Body Text Indent 3"/>
    <w:basedOn w:val="1"/>
    <w:link w:val="84"/>
    <w:qFormat/>
    <w:uiPriority w:val="99"/>
    <w:pPr>
      <w:spacing w:after="120"/>
      <w:ind w:left="420" w:leftChars="200"/>
    </w:pPr>
    <w:rPr>
      <w:sz w:val="16"/>
      <w:szCs w:val="16"/>
    </w:rPr>
  </w:style>
  <w:style w:type="paragraph" w:styleId="42">
    <w:name w:val="toc 2"/>
    <w:basedOn w:val="1"/>
    <w:next w:val="1"/>
    <w:semiHidden/>
    <w:qFormat/>
    <w:uiPriority w:val="99"/>
    <w:pPr>
      <w:ind w:left="420" w:leftChars="200"/>
    </w:pPr>
  </w:style>
  <w:style w:type="paragraph" w:styleId="43">
    <w:name w:val="toc 9"/>
    <w:basedOn w:val="1"/>
    <w:next w:val="1"/>
    <w:semiHidden/>
    <w:qFormat/>
    <w:uiPriority w:val="99"/>
    <w:pPr>
      <w:ind w:left="3360" w:leftChars="1600"/>
    </w:pPr>
  </w:style>
  <w:style w:type="paragraph" w:styleId="44">
    <w:name w:val="Body Text 2"/>
    <w:basedOn w:val="1"/>
    <w:link w:val="85"/>
    <w:qFormat/>
    <w:uiPriority w:val="99"/>
    <w:pPr>
      <w:spacing w:after="120" w:line="480" w:lineRule="auto"/>
    </w:pPr>
  </w:style>
  <w:style w:type="paragraph" w:styleId="45">
    <w:name w:val="HTML Preformatted"/>
    <w:basedOn w:val="1"/>
    <w:link w:val="8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黑体"/>
      <w:kern w:val="0"/>
      <w:sz w:val="20"/>
      <w:szCs w:val="20"/>
    </w:rPr>
  </w:style>
  <w:style w:type="paragraph" w:styleId="4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7">
    <w:name w:val="index 1"/>
    <w:basedOn w:val="1"/>
    <w:next w:val="1"/>
    <w:semiHidden/>
    <w:qFormat/>
    <w:uiPriority w:val="99"/>
    <w:pPr>
      <w:spacing w:line="220" w:lineRule="exact"/>
      <w:jc w:val="center"/>
    </w:pPr>
    <w:rPr>
      <w:rFonts w:ascii="仿宋_GB2312" w:eastAsia="仿宋_GB2312" w:cs="仿宋_GB2312"/>
    </w:rPr>
  </w:style>
  <w:style w:type="paragraph" w:styleId="48">
    <w:name w:val="Title"/>
    <w:basedOn w:val="1"/>
    <w:link w:val="87"/>
    <w:qFormat/>
    <w:uiPriority w:val="99"/>
    <w:pPr>
      <w:adjustRightInd w:val="0"/>
      <w:spacing w:before="240" w:after="60" w:line="420" w:lineRule="atLeast"/>
      <w:jc w:val="center"/>
      <w:textAlignment w:val="baseline"/>
      <w:outlineLvl w:val="0"/>
    </w:pPr>
    <w:rPr>
      <w:rFonts w:ascii="Arial" w:hAnsi="Arial" w:cs="Arial"/>
      <w:b/>
      <w:bCs/>
      <w:kern w:val="0"/>
      <w:sz w:val="32"/>
      <w:szCs w:val="32"/>
    </w:rPr>
  </w:style>
  <w:style w:type="paragraph" w:styleId="49">
    <w:name w:val="annotation subject"/>
    <w:basedOn w:val="19"/>
    <w:next w:val="19"/>
    <w:link w:val="72"/>
    <w:semiHidden/>
    <w:qFormat/>
    <w:uiPriority w:val="99"/>
    <w:rPr>
      <w:b/>
      <w:bCs/>
    </w:rPr>
  </w:style>
  <w:style w:type="paragraph" w:styleId="50">
    <w:name w:val="Body Text First Indent 2"/>
    <w:basedOn w:val="22"/>
    <w:qFormat/>
    <w:uiPriority w:val="99"/>
    <w:pPr>
      <w:ind w:firstLine="420" w:firstLineChars="200"/>
    </w:pPr>
    <w:rPr>
      <w:rFonts w:ascii="Calibri" w:hAnsi="Calibri" w:cs="Calibri"/>
      <w:sz w:val="20"/>
      <w:szCs w:val="20"/>
      <w:lang w:val="zh-CN"/>
    </w:rPr>
  </w:style>
  <w:style w:type="table" w:styleId="52">
    <w:name w:val="Table Grid"/>
    <w:basedOn w:val="5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4">
    <w:name w:val="Strong"/>
    <w:qFormat/>
    <w:uiPriority w:val="22"/>
    <w:rPr>
      <w:b/>
      <w:bCs/>
    </w:rPr>
  </w:style>
  <w:style w:type="character" w:styleId="55">
    <w:name w:val="page number"/>
    <w:basedOn w:val="53"/>
    <w:qFormat/>
    <w:uiPriority w:val="99"/>
  </w:style>
  <w:style w:type="character" w:styleId="56">
    <w:name w:val="FollowedHyperlink"/>
    <w:qFormat/>
    <w:uiPriority w:val="99"/>
    <w:rPr>
      <w:color w:val="800080"/>
      <w:u w:val="single"/>
    </w:rPr>
  </w:style>
  <w:style w:type="character" w:styleId="57">
    <w:name w:val="Emphasis"/>
    <w:qFormat/>
    <w:uiPriority w:val="99"/>
    <w:rPr>
      <w:color w:val="auto"/>
    </w:rPr>
  </w:style>
  <w:style w:type="character" w:styleId="58">
    <w:name w:val="HTML Definition"/>
    <w:basedOn w:val="53"/>
    <w:qFormat/>
    <w:uiPriority w:val="99"/>
  </w:style>
  <w:style w:type="character" w:styleId="59">
    <w:name w:val="Hyperlink"/>
    <w:qFormat/>
    <w:uiPriority w:val="99"/>
    <w:rPr>
      <w:color w:val="0000FF"/>
      <w:u w:val="single"/>
    </w:rPr>
  </w:style>
  <w:style w:type="character" w:styleId="60">
    <w:name w:val="annotation reference"/>
    <w:semiHidden/>
    <w:qFormat/>
    <w:uiPriority w:val="99"/>
    <w:rPr>
      <w:sz w:val="21"/>
      <w:szCs w:val="21"/>
    </w:rPr>
  </w:style>
  <w:style w:type="character" w:styleId="61">
    <w:name w:val="footnote reference"/>
    <w:semiHidden/>
    <w:qFormat/>
    <w:uiPriority w:val="99"/>
    <w:rPr>
      <w:vertAlign w:val="superscript"/>
    </w:rPr>
  </w:style>
  <w:style w:type="character" w:customStyle="1" w:styleId="62">
    <w:name w:val="标题 1 字符"/>
    <w:link w:val="4"/>
    <w:qFormat/>
    <w:uiPriority w:val="0"/>
    <w:rPr>
      <w:rFonts w:eastAsia="宋体"/>
      <w:b/>
      <w:bCs/>
      <w:kern w:val="44"/>
      <w:sz w:val="44"/>
      <w:szCs w:val="44"/>
      <w:lang w:val="en-US" w:eastAsia="zh-CN"/>
    </w:rPr>
  </w:style>
  <w:style w:type="character" w:customStyle="1" w:styleId="63">
    <w:name w:val="标题 2 字符"/>
    <w:link w:val="5"/>
    <w:qFormat/>
    <w:uiPriority w:val="99"/>
    <w:rPr>
      <w:rFonts w:ascii="Arial" w:hAnsi="Arial" w:eastAsia="黑体" w:cs="Arial"/>
      <w:b/>
      <w:bCs/>
      <w:kern w:val="2"/>
      <w:sz w:val="32"/>
      <w:szCs w:val="32"/>
      <w:lang w:val="en-US" w:eastAsia="zh-CN"/>
    </w:rPr>
  </w:style>
  <w:style w:type="character" w:customStyle="1" w:styleId="64">
    <w:name w:val="标题 3 字符"/>
    <w:link w:val="6"/>
    <w:qFormat/>
    <w:uiPriority w:val="99"/>
    <w:rPr>
      <w:rFonts w:eastAsia="宋体"/>
      <w:b/>
      <w:bCs/>
      <w:kern w:val="2"/>
      <w:sz w:val="32"/>
      <w:szCs w:val="32"/>
      <w:lang w:val="en-US" w:eastAsia="zh-CN"/>
    </w:rPr>
  </w:style>
  <w:style w:type="character" w:customStyle="1" w:styleId="65">
    <w:name w:val="标题 4 字符"/>
    <w:link w:val="7"/>
    <w:qFormat/>
    <w:uiPriority w:val="99"/>
    <w:rPr>
      <w:rFonts w:ascii="Arial" w:hAnsi="Arial" w:eastAsia="黑体" w:cs="Arial"/>
      <w:b/>
      <w:bCs/>
      <w:kern w:val="2"/>
      <w:sz w:val="28"/>
      <w:szCs w:val="28"/>
      <w:lang w:val="en-US" w:eastAsia="zh-CN"/>
    </w:rPr>
  </w:style>
  <w:style w:type="character" w:customStyle="1" w:styleId="66">
    <w:name w:val="标题 5 字符"/>
    <w:link w:val="8"/>
    <w:qFormat/>
    <w:uiPriority w:val="99"/>
    <w:rPr>
      <w:rFonts w:eastAsia="宋体"/>
      <w:b/>
      <w:bCs/>
      <w:kern w:val="2"/>
      <w:sz w:val="28"/>
      <w:szCs w:val="28"/>
      <w:lang w:val="en-US" w:eastAsia="zh-CN"/>
    </w:rPr>
  </w:style>
  <w:style w:type="character" w:customStyle="1" w:styleId="67">
    <w:name w:val="标题 6 字符"/>
    <w:link w:val="9"/>
    <w:qFormat/>
    <w:uiPriority w:val="99"/>
    <w:rPr>
      <w:rFonts w:ascii="Arial" w:hAnsi="Arial" w:eastAsia="黑体" w:cs="Arial"/>
      <w:b/>
      <w:bCs/>
      <w:sz w:val="24"/>
      <w:szCs w:val="24"/>
      <w:lang w:val="en-US" w:eastAsia="zh-CN"/>
    </w:rPr>
  </w:style>
  <w:style w:type="character" w:customStyle="1" w:styleId="68">
    <w:name w:val="标题 7 字符"/>
    <w:link w:val="10"/>
    <w:qFormat/>
    <w:uiPriority w:val="99"/>
    <w:rPr>
      <w:rFonts w:eastAsia="宋体"/>
      <w:b/>
      <w:bCs/>
      <w:sz w:val="24"/>
      <w:szCs w:val="24"/>
      <w:lang w:val="en-US" w:eastAsia="zh-CN"/>
    </w:rPr>
  </w:style>
  <w:style w:type="character" w:customStyle="1" w:styleId="69">
    <w:name w:val="标题 8 字符"/>
    <w:link w:val="11"/>
    <w:qFormat/>
    <w:uiPriority w:val="99"/>
    <w:rPr>
      <w:rFonts w:ascii="Arial" w:hAnsi="Arial" w:eastAsia="黑体" w:cs="Arial"/>
      <w:sz w:val="24"/>
      <w:szCs w:val="24"/>
      <w:lang w:val="en-US" w:eastAsia="zh-CN"/>
    </w:rPr>
  </w:style>
  <w:style w:type="character" w:customStyle="1" w:styleId="70">
    <w:name w:val="标题 9 字符"/>
    <w:link w:val="12"/>
    <w:semiHidden/>
    <w:qFormat/>
    <w:uiPriority w:val="99"/>
    <w:rPr>
      <w:rFonts w:ascii="Cambria" w:hAnsi="Cambria" w:eastAsia="宋体" w:cs="Cambria"/>
      <w:sz w:val="21"/>
      <w:szCs w:val="21"/>
    </w:rPr>
  </w:style>
  <w:style w:type="character" w:customStyle="1" w:styleId="71">
    <w:name w:val="批注文字 字符"/>
    <w:link w:val="19"/>
    <w:semiHidden/>
    <w:qFormat/>
    <w:uiPriority w:val="99"/>
    <w:rPr>
      <w:sz w:val="24"/>
      <w:szCs w:val="24"/>
    </w:rPr>
  </w:style>
  <w:style w:type="character" w:customStyle="1" w:styleId="72">
    <w:name w:val="批注主题 字符"/>
    <w:link w:val="49"/>
    <w:qFormat/>
    <w:uiPriority w:val="99"/>
    <w:rPr>
      <w:rFonts w:eastAsia="宋体"/>
      <w:b/>
      <w:bCs/>
      <w:kern w:val="2"/>
      <w:sz w:val="24"/>
      <w:szCs w:val="24"/>
      <w:lang w:val="en-US" w:eastAsia="zh-CN"/>
    </w:rPr>
  </w:style>
  <w:style w:type="character" w:customStyle="1" w:styleId="73">
    <w:name w:val="脚注文本 字符"/>
    <w:link w:val="39"/>
    <w:semiHidden/>
    <w:qFormat/>
    <w:uiPriority w:val="99"/>
    <w:rPr>
      <w:rFonts w:eastAsia="宋体"/>
      <w:kern w:val="2"/>
      <w:sz w:val="18"/>
      <w:szCs w:val="18"/>
      <w:lang w:val="en-US" w:eastAsia="zh-CN"/>
    </w:rPr>
  </w:style>
  <w:style w:type="character" w:customStyle="1" w:styleId="74">
    <w:name w:val="文档结构图 字符"/>
    <w:link w:val="18"/>
    <w:semiHidden/>
    <w:qFormat/>
    <w:uiPriority w:val="99"/>
    <w:rPr>
      <w:rFonts w:eastAsia="宋体"/>
      <w:kern w:val="2"/>
      <w:sz w:val="24"/>
      <w:szCs w:val="24"/>
      <w:lang w:val="en-US" w:eastAsia="zh-CN"/>
    </w:rPr>
  </w:style>
  <w:style w:type="character" w:customStyle="1" w:styleId="75">
    <w:name w:val="正文文本 3 字符"/>
    <w:link w:val="20"/>
    <w:qFormat/>
    <w:uiPriority w:val="99"/>
    <w:rPr>
      <w:rFonts w:ascii="宋体" w:eastAsia="宋体" w:cs="宋体"/>
      <w:kern w:val="2"/>
      <w:sz w:val="24"/>
      <w:szCs w:val="24"/>
      <w:lang w:val="en-US" w:eastAsia="zh-CN"/>
    </w:rPr>
  </w:style>
  <w:style w:type="character" w:customStyle="1" w:styleId="76">
    <w:name w:val="正文文本 字符"/>
    <w:link w:val="3"/>
    <w:semiHidden/>
    <w:qFormat/>
    <w:uiPriority w:val="99"/>
    <w:rPr>
      <w:sz w:val="24"/>
      <w:szCs w:val="24"/>
    </w:rPr>
  </w:style>
  <w:style w:type="character" w:customStyle="1" w:styleId="77">
    <w:name w:val="正文文本缩进 字符"/>
    <w:link w:val="22"/>
    <w:qFormat/>
    <w:uiPriority w:val="99"/>
    <w:rPr>
      <w:rFonts w:eastAsia="宋体"/>
      <w:kern w:val="2"/>
      <w:sz w:val="24"/>
      <w:szCs w:val="24"/>
      <w:lang w:val="en-US" w:eastAsia="zh-CN"/>
    </w:rPr>
  </w:style>
  <w:style w:type="character" w:customStyle="1" w:styleId="78">
    <w:name w:val="纯文本 字符"/>
    <w:link w:val="28"/>
    <w:qFormat/>
    <w:uiPriority w:val="99"/>
    <w:rPr>
      <w:rFonts w:ascii="宋体" w:hAnsi="Courier New" w:eastAsia="宋体" w:cs="宋体"/>
      <w:kern w:val="2"/>
      <w:sz w:val="21"/>
      <w:szCs w:val="21"/>
      <w:lang w:val="en-US" w:eastAsia="zh-CN"/>
    </w:rPr>
  </w:style>
  <w:style w:type="character" w:customStyle="1" w:styleId="79">
    <w:name w:val="日期 字符"/>
    <w:link w:val="31"/>
    <w:qFormat/>
    <w:uiPriority w:val="99"/>
    <w:rPr>
      <w:rFonts w:eastAsia="宋体"/>
      <w:kern w:val="2"/>
      <w:sz w:val="24"/>
      <w:szCs w:val="24"/>
      <w:lang w:val="en-US" w:eastAsia="zh-CN"/>
    </w:rPr>
  </w:style>
  <w:style w:type="character" w:customStyle="1" w:styleId="80">
    <w:name w:val="正文文本缩进 2 字符"/>
    <w:link w:val="32"/>
    <w:semiHidden/>
    <w:qFormat/>
    <w:uiPriority w:val="99"/>
    <w:rPr>
      <w:sz w:val="24"/>
      <w:szCs w:val="24"/>
    </w:rPr>
  </w:style>
  <w:style w:type="character" w:customStyle="1" w:styleId="81">
    <w:name w:val="批注框文本 字符"/>
    <w:link w:val="33"/>
    <w:qFormat/>
    <w:uiPriority w:val="99"/>
    <w:rPr>
      <w:rFonts w:eastAsia="宋体"/>
      <w:kern w:val="2"/>
      <w:sz w:val="18"/>
      <w:szCs w:val="18"/>
      <w:lang w:val="en-US" w:eastAsia="zh-CN"/>
    </w:rPr>
  </w:style>
  <w:style w:type="character" w:customStyle="1" w:styleId="82">
    <w:name w:val="页脚 字符"/>
    <w:link w:val="34"/>
    <w:qFormat/>
    <w:uiPriority w:val="99"/>
    <w:rPr>
      <w:rFonts w:eastAsia="宋体"/>
      <w:kern w:val="2"/>
      <w:sz w:val="18"/>
      <w:szCs w:val="18"/>
      <w:lang w:val="en-US" w:eastAsia="zh-CN"/>
    </w:rPr>
  </w:style>
  <w:style w:type="character" w:customStyle="1" w:styleId="83">
    <w:name w:val="页眉 字符"/>
    <w:link w:val="35"/>
    <w:qFormat/>
    <w:uiPriority w:val="99"/>
    <w:rPr>
      <w:rFonts w:eastAsia="宋体"/>
      <w:kern w:val="2"/>
      <w:sz w:val="18"/>
      <w:szCs w:val="18"/>
      <w:lang w:val="en-US" w:eastAsia="zh-CN"/>
    </w:rPr>
  </w:style>
  <w:style w:type="character" w:customStyle="1" w:styleId="84">
    <w:name w:val="正文文本缩进 3 字符"/>
    <w:link w:val="41"/>
    <w:semiHidden/>
    <w:qFormat/>
    <w:uiPriority w:val="99"/>
    <w:rPr>
      <w:sz w:val="16"/>
      <w:szCs w:val="16"/>
    </w:rPr>
  </w:style>
  <w:style w:type="character" w:customStyle="1" w:styleId="85">
    <w:name w:val="正文文本 2 字符"/>
    <w:link w:val="44"/>
    <w:semiHidden/>
    <w:qFormat/>
    <w:uiPriority w:val="99"/>
    <w:rPr>
      <w:sz w:val="24"/>
      <w:szCs w:val="24"/>
    </w:rPr>
  </w:style>
  <w:style w:type="character" w:customStyle="1" w:styleId="86">
    <w:name w:val="HTML 预设格式 字符"/>
    <w:link w:val="45"/>
    <w:semiHidden/>
    <w:qFormat/>
    <w:uiPriority w:val="99"/>
    <w:rPr>
      <w:rFonts w:ascii="Courier New" w:hAnsi="Courier New" w:cs="Courier New"/>
      <w:sz w:val="20"/>
      <w:szCs w:val="20"/>
    </w:rPr>
  </w:style>
  <w:style w:type="character" w:customStyle="1" w:styleId="87">
    <w:name w:val="标题 字符"/>
    <w:link w:val="48"/>
    <w:qFormat/>
    <w:uiPriority w:val="99"/>
    <w:rPr>
      <w:rFonts w:ascii="Cambria" w:hAnsi="Cambria" w:cs="Cambria"/>
      <w:b/>
      <w:bCs/>
      <w:sz w:val="32"/>
      <w:szCs w:val="32"/>
    </w:rPr>
  </w:style>
  <w:style w:type="character" w:customStyle="1" w:styleId="88">
    <w:name w:val="Char Char23"/>
    <w:qFormat/>
    <w:uiPriority w:val="99"/>
    <w:rPr>
      <w:rFonts w:eastAsia="宋体"/>
      <w:b/>
      <w:bCs/>
      <w:kern w:val="44"/>
      <w:sz w:val="44"/>
      <w:szCs w:val="44"/>
      <w:lang w:val="en-US" w:eastAsia="zh-CN"/>
    </w:rPr>
  </w:style>
  <w:style w:type="character" w:customStyle="1" w:styleId="89">
    <w:name w:val="Char Char15"/>
    <w:qFormat/>
    <w:uiPriority w:val="99"/>
    <w:rPr>
      <w:rFonts w:ascii="黑体" w:hAnsi="Arial" w:eastAsia="黑体" w:cs="黑体"/>
      <w:kern w:val="0"/>
      <w:sz w:val="20"/>
      <w:szCs w:val="20"/>
    </w:rPr>
  </w:style>
  <w:style w:type="character" w:customStyle="1" w:styleId="90">
    <w:name w:val="正文缩进 字符"/>
    <w:link w:val="15"/>
    <w:qFormat/>
    <w:uiPriority w:val="99"/>
    <w:rPr>
      <w:rFonts w:eastAsia="宋体"/>
      <w:kern w:val="2"/>
      <w:sz w:val="24"/>
      <w:szCs w:val="24"/>
      <w:lang w:val="en-US" w:eastAsia="zh-CN"/>
    </w:rPr>
  </w:style>
  <w:style w:type="character" w:customStyle="1" w:styleId="91">
    <w:name w:val="zw123 Char"/>
    <w:link w:val="92"/>
    <w:qFormat/>
    <w:uiPriority w:val="99"/>
    <w:rPr>
      <w:rFonts w:ascii="宋体" w:hAnsi="宋体" w:eastAsia="宋体" w:cs="宋体"/>
      <w:kern w:val="2"/>
      <w:sz w:val="22"/>
      <w:szCs w:val="22"/>
    </w:rPr>
  </w:style>
  <w:style w:type="paragraph" w:customStyle="1" w:styleId="92">
    <w:name w:val="zw123"/>
    <w:basedOn w:val="1"/>
    <w:link w:val="91"/>
    <w:qFormat/>
    <w:uiPriority w:val="99"/>
    <w:pPr>
      <w:autoSpaceDE w:val="0"/>
      <w:autoSpaceDN w:val="0"/>
      <w:adjustRightInd w:val="0"/>
      <w:spacing w:line="360" w:lineRule="auto"/>
      <w:ind w:firstLine="480" w:firstLineChars="200"/>
    </w:pPr>
    <w:rPr>
      <w:rFonts w:ascii="宋体" w:hAnsi="宋体"/>
      <w:sz w:val="22"/>
      <w:szCs w:val="22"/>
    </w:rPr>
  </w:style>
  <w:style w:type="character" w:customStyle="1" w:styleId="93">
    <w:name w:val="rvts17"/>
    <w:qFormat/>
    <w:uiPriority w:val="99"/>
    <w:rPr>
      <w:rFonts w:ascii="KNLe" w:hAnsi="KNLe" w:cs="KNLe"/>
      <w:color w:val="000000"/>
      <w:u w:val="single"/>
    </w:rPr>
  </w:style>
  <w:style w:type="character" w:customStyle="1" w:styleId="94">
    <w:name w:val="样式 宋体 小四 加粗"/>
    <w:qFormat/>
    <w:uiPriority w:val="99"/>
    <w:rPr>
      <w:rFonts w:ascii="宋体" w:eastAsia="宋体" w:cs="宋体"/>
      <w:b/>
      <w:bCs/>
      <w:sz w:val="28"/>
      <w:szCs w:val="28"/>
    </w:rPr>
  </w:style>
  <w:style w:type="character" w:customStyle="1" w:styleId="95">
    <w:name w:val="纯文本 Char1"/>
    <w:semiHidden/>
    <w:qFormat/>
    <w:uiPriority w:val="99"/>
    <w:rPr>
      <w:rFonts w:ascii="宋体" w:hAnsi="Courier New" w:eastAsia="宋体" w:cs="宋体"/>
      <w:sz w:val="21"/>
      <w:szCs w:val="21"/>
    </w:rPr>
  </w:style>
  <w:style w:type="character" w:customStyle="1" w:styleId="96">
    <w:name w:val="Char Char17"/>
    <w:qFormat/>
    <w:uiPriority w:val="99"/>
    <w:rPr>
      <w:rFonts w:ascii="黑体" w:hAnsi="Arial" w:eastAsia="黑体" w:cs="黑体"/>
      <w:b/>
      <w:bCs/>
      <w:kern w:val="0"/>
      <w:sz w:val="20"/>
      <w:szCs w:val="20"/>
    </w:rPr>
  </w:style>
  <w:style w:type="character" w:customStyle="1" w:styleId="97">
    <w:name w:val="Para head"/>
    <w:qFormat/>
    <w:uiPriority w:val="99"/>
    <w:rPr>
      <w:sz w:val="20"/>
      <w:szCs w:val="20"/>
    </w:rPr>
  </w:style>
  <w:style w:type="character" w:customStyle="1" w:styleId="98">
    <w:name w:val="Char Char1"/>
    <w:semiHidden/>
    <w:qFormat/>
    <w:uiPriority w:val="99"/>
    <w:rPr>
      <w:rFonts w:eastAsia="宋体"/>
      <w:kern w:val="2"/>
      <w:sz w:val="18"/>
      <w:szCs w:val="18"/>
      <w:lang w:val="en-US" w:eastAsia="zh-CN"/>
    </w:rPr>
  </w:style>
  <w:style w:type="character" w:customStyle="1" w:styleId="99">
    <w:name w:val="标题 2 Char"/>
    <w:qFormat/>
    <w:uiPriority w:val="99"/>
    <w:rPr>
      <w:rFonts w:ascii="黑体" w:eastAsia="黑体" w:cs="黑体"/>
      <w:b/>
      <w:bCs/>
      <w:sz w:val="24"/>
      <w:szCs w:val="24"/>
      <w:lang w:val="en-US" w:eastAsia="zh-CN"/>
    </w:rPr>
  </w:style>
  <w:style w:type="character" w:customStyle="1" w:styleId="100">
    <w:name w:val="TEXT-NEW Char"/>
    <w:link w:val="101"/>
    <w:qFormat/>
    <w:uiPriority w:val="99"/>
    <w:rPr>
      <w:rFonts w:ascii="宋体" w:cs="宋体"/>
      <w:kern w:val="2"/>
      <w:sz w:val="24"/>
      <w:szCs w:val="24"/>
      <w:lang w:val="en-US" w:eastAsia="zh-CN" w:bidi="ar-SA"/>
    </w:rPr>
  </w:style>
  <w:style w:type="paragraph" w:customStyle="1" w:styleId="101">
    <w:name w:val="TEXT-NEW"/>
    <w:link w:val="100"/>
    <w:qFormat/>
    <w:uiPriority w:val="99"/>
    <w:pPr>
      <w:spacing w:line="360" w:lineRule="auto"/>
      <w:ind w:firstLine="480" w:firstLineChars="200"/>
      <w:jc w:val="both"/>
    </w:pPr>
    <w:rPr>
      <w:rFonts w:ascii="宋体" w:hAnsi="Times New Roman" w:eastAsia="宋体" w:cs="宋体"/>
      <w:kern w:val="2"/>
      <w:sz w:val="24"/>
      <w:szCs w:val="24"/>
      <w:lang w:val="en-US" w:eastAsia="zh-CN" w:bidi="ar-SA"/>
    </w:rPr>
  </w:style>
  <w:style w:type="character" w:customStyle="1" w:styleId="102">
    <w:name w:val="Char Char4"/>
    <w:qFormat/>
    <w:uiPriority w:val="99"/>
    <w:rPr>
      <w:rFonts w:ascii="宋体" w:hAnsi="Times New Roman" w:eastAsia="宋体" w:cs="宋体"/>
      <w:kern w:val="0"/>
      <w:sz w:val="20"/>
      <w:szCs w:val="20"/>
    </w:rPr>
  </w:style>
  <w:style w:type="character" w:customStyle="1" w:styleId="103">
    <w:name w:val="Char Char22"/>
    <w:qFormat/>
    <w:uiPriority w:val="99"/>
    <w:rPr>
      <w:rFonts w:eastAsia="宋体"/>
      <w:b/>
      <w:bCs/>
      <w:kern w:val="2"/>
      <w:sz w:val="32"/>
      <w:szCs w:val="32"/>
      <w:lang w:val="en-US" w:eastAsia="zh-CN"/>
    </w:rPr>
  </w:style>
  <w:style w:type="character" w:customStyle="1" w:styleId="104">
    <w:name w:val="grame"/>
    <w:basedOn w:val="53"/>
    <w:qFormat/>
    <w:uiPriority w:val="99"/>
  </w:style>
  <w:style w:type="character" w:customStyle="1" w:styleId="105">
    <w:name w:val="正文（首行缩进两字） Char"/>
    <w:qFormat/>
    <w:uiPriority w:val="99"/>
    <w:rPr>
      <w:rFonts w:eastAsia="宋体"/>
      <w:kern w:val="2"/>
      <w:sz w:val="24"/>
      <w:szCs w:val="24"/>
      <w:lang w:val="en-US" w:eastAsia="zh-CN"/>
    </w:rPr>
  </w:style>
  <w:style w:type="character" w:customStyle="1" w:styleId="106">
    <w:name w:val="Char Char9"/>
    <w:qFormat/>
    <w:uiPriority w:val="99"/>
    <w:rPr>
      <w:rFonts w:ascii="Times New Roman" w:hAnsi="Times New Roman" w:eastAsia="宋体" w:cs="Times New Roman"/>
      <w:kern w:val="0"/>
      <w:sz w:val="20"/>
      <w:szCs w:val="20"/>
    </w:rPr>
  </w:style>
  <w:style w:type="character" w:customStyle="1" w:styleId="107">
    <w:name w:val="图表编号  宋体 五号 加粗"/>
    <w:qFormat/>
    <w:uiPriority w:val="99"/>
    <w:rPr>
      <w:rFonts w:ascii="宋体" w:eastAsia="宋体" w:cs="宋体"/>
      <w:b/>
      <w:bCs/>
      <w:sz w:val="21"/>
      <w:szCs w:val="21"/>
    </w:rPr>
  </w:style>
  <w:style w:type="character" w:customStyle="1" w:styleId="108">
    <w:name w:val="普通文字 Char Char"/>
    <w:qFormat/>
    <w:uiPriority w:val="99"/>
    <w:rPr>
      <w:rFonts w:ascii="宋体" w:hAnsi="Courier New" w:eastAsia="宋体" w:cs="宋体"/>
      <w:kern w:val="2"/>
      <w:sz w:val="21"/>
      <w:szCs w:val="21"/>
      <w:lang w:val="en-US" w:eastAsia="zh-CN"/>
    </w:rPr>
  </w:style>
  <w:style w:type="character" w:customStyle="1" w:styleId="109">
    <w:name w:val="Char Char11"/>
    <w:qFormat/>
    <w:uiPriority w:val="99"/>
    <w:rPr>
      <w:sz w:val="18"/>
      <w:szCs w:val="18"/>
    </w:rPr>
  </w:style>
  <w:style w:type="character" w:customStyle="1" w:styleId="110">
    <w:name w:val="正文（首行缩进两字） + Arial Char Char Char Char Char Char Char Char Char Char Char Char Char Char Char Char Char Char Char Char Char Char Char Char Char Char Char"/>
    <w:qFormat/>
    <w:uiPriority w:val="99"/>
    <w:rPr>
      <w:rFonts w:ascii="Arial" w:hAnsi="Arial" w:eastAsia="宋体" w:cs="Arial"/>
      <w:sz w:val="24"/>
      <w:szCs w:val="24"/>
      <w:lang w:val="en-US" w:eastAsia="zh-CN"/>
    </w:rPr>
  </w:style>
  <w:style w:type="character" w:customStyle="1" w:styleId="111">
    <w:name w:val="样式 宋体 小四2"/>
    <w:qFormat/>
    <w:uiPriority w:val="99"/>
    <w:rPr>
      <w:rFonts w:ascii="宋体" w:eastAsia="宋体" w:cs="宋体"/>
      <w:kern w:val="0"/>
      <w:sz w:val="28"/>
      <w:szCs w:val="28"/>
    </w:rPr>
  </w:style>
  <w:style w:type="character" w:customStyle="1" w:styleId="112">
    <w:name w:val="Char Char19"/>
    <w:qFormat/>
    <w:uiPriority w:val="99"/>
    <w:rPr>
      <w:rFonts w:ascii="黑体" w:hAnsi="Arial" w:eastAsia="黑体" w:cs="黑体"/>
      <w:b/>
      <w:bCs/>
      <w:kern w:val="0"/>
      <w:sz w:val="20"/>
      <w:szCs w:val="20"/>
    </w:rPr>
  </w:style>
  <w:style w:type="character" w:customStyle="1" w:styleId="113">
    <w:name w:val="样式 (西文) 仿宋_GB2312 小四"/>
    <w:qFormat/>
    <w:uiPriority w:val="99"/>
    <w:rPr>
      <w:rFonts w:ascii="Times New Roman" w:hAnsi="Times New Roman" w:eastAsia="宋体" w:cs="Times New Roman"/>
      <w:sz w:val="24"/>
      <w:szCs w:val="24"/>
    </w:rPr>
  </w:style>
  <w:style w:type="character" w:customStyle="1" w:styleId="114">
    <w:name w:val="Char Char21"/>
    <w:qFormat/>
    <w:uiPriority w:val="99"/>
    <w:rPr>
      <w:rFonts w:ascii="Arial" w:hAnsi="Arial" w:eastAsia="黑体" w:cs="Arial"/>
      <w:b/>
      <w:bCs/>
      <w:kern w:val="2"/>
      <w:sz w:val="28"/>
      <w:szCs w:val="28"/>
      <w:lang w:val="en-US" w:eastAsia="zh-CN"/>
    </w:rPr>
  </w:style>
  <w:style w:type="character" w:customStyle="1" w:styleId="115">
    <w:name w:val="样式 黑体 小二"/>
    <w:qFormat/>
    <w:uiPriority w:val="99"/>
    <w:rPr>
      <w:rFonts w:ascii="黑体" w:hAnsi="黑体" w:eastAsia="黑体" w:cs="黑体"/>
      <w:sz w:val="36"/>
      <w:szCs w:val="36"/>
    </w:rPr>
  </w:style>
  <w:style w:type="character" w:customStyle="1" w:styleId="116">
    <w:name w:val="样式 宋体 小四"/>
    <w:qFormat/>
    <w:uiPriority w:val="99"/>
    <w:rPr>
      <w:rFonts w:ascii="宋体" w:eastAsia="宋体" w:cs="宋体"/>
      <w:sz w:val="28"/>
      <w:szCs w:val="28"/>
    </w:rPr>
  </w:style>
  <w:style w:type="character" w:customStyle="1" w:styleId="117">
    <w:name w:val="标题 1.1 Char Char"/>
    <w:qFormat/>
    <w:uiPriority w:val="99"/>
    <w:rPr>
      <w:rFonts w:ascii="Arial" w:hAnsi="Arial" w:eastAsia="黑体" w:cs="Arial"/>
      <w:b/>
      <w:bCs/>
      <w:kern w:val="2"/>
      <w:sz w:val="32"/>
      <w:szCs w:val="32"/>
      <w:lang w:val="en-US" w:eastAsia="zh-CN"/>
    </w:rPr>
  </w:style>
  <w:style w:type="character" w:customStyle="1" w:styleId="118">
    <w:name w:val="标题1　样式 宋体 小三 加粗"/>
    <w:qFormat/>
    <w:uiPriority w:val="99"/>
    <w:rPr>
      <w:rFonts w:ascii="宋体" w:hAnsi="宋体" w:eastAsia="黑体" w:cs="宋体"/>
      <w:b/>
      <w:bCs/>
      <w:kern w:val="44"/>
      <w:sz w:val="44"/>
      <w:szCs w:val="44"/>
      <w:lang w:val="en-US" w:eastAsia="zh-CN"/>
    </w:rPr>
  </w:style>
  <w:style w:type="character" w:customStyle="1" w:styleId="119">
    <w:name w:val="样式 样式 (西文) 仿宋_GB2312 小四 + 加粗"/>
    <w:qFormat/>
    <w:uiPriority w:val="99"/>
    <w:rPr>
      <w:rFonts w:ascii="Times New Roman" w:hAnsi="Times New Roman" w:eastAsia="宋体" w:cs="Times New Roman"/>
      <w:b/>
      <w:bCs/>
      <w:sz w:val="24"/>
      <w:szCs w:val="24"/>
    </w:rPr>
  </w:style>
  <w:style w:type="character" w:customStyle="1" w:styleId="120">
    <w:name w:val="样式 宋体 小四 加粗1"/>
    <w:qFormat/>
    <w:uiPriority w:val="99"/>
    <w:rPr>
      <w:rFonts w:ascii="宋体" w:eastAsia="宋体" w:cs="宋体"/>
      <w:b/>
      <w:bCs/>
      <w:sz w:val="28"/>
      <w:szCs w:val="28"/>
    </w:rPr>
  </w:style>
  <w:style w:type="character" w:customStyle="1" w:styleId="121">
    <w:name w:val="样式 宋体 小四1"/>
    <w:qFormat/>
    <w:uiPriority w:val="99"/>
    <w:rPr>
      <w:rFonts w:ascii="宋体" w:eastAsia="宋体" w:cs="宋体"/>
      <w:sz w:val="28"/>
      <w:szCs w:val="28"/>
    </w:rPr>
  </w:style>
  <w:style w:type="character" w:customStyle="1" w:styleId="122">
    <w:name w:val="font161"/>
    <w:qFormat/>
    <w:uiPriority w:val="99"/>
    <w:rPr>
      <w:b/>
      <w:bCs/>
      <w:sz w:val="32"/>
      <w:szCs w:val="32"/>
    </w:rPr>
  </w:style>
  <w:style w:type="paragraph" w:customStyle="1" w:styleId="123">
    <w:name w:val="正文文本 21"/>
    <w:basedOn w:val="1"/>
    <w:qFormat/>
    <w:uiPriority w:val="99"/>
    <w:pPr>
      <w:adjustRightInd w:val="0"/>
      <w:ind w:firstLine="510"/>
      <w:jc w:val="left"/>
      <w:textAlignment w:val="baseline"/>
    </w:pPr>
    <w:rPr>
      <w:rFonts w:eastAsia="@幼圆"/>
      <w:sz w:val="32"/>
      <w:szCs w:val="32"/>
    </w:rPr>
  </w:style>
  <w:style w:type="paragraph" w:customStyle="1" w:styleId="124">
    <w:name w:val="表、图签"/>
    <w:basedOn w:val="1"/>
    <w:qFormat/>
    <w:uiPriority w:val="99"/>
    <w:pPr>
      <w:spacing w:line="360" w:lineRule="auto"/>
      <w:jc w:val="center"/>
    </w:pPr>
    <w:rPr>
      <w:rFonts w:ascii="黑体" w:hAnsi="Arial" w:eastAsia="黑体" w:cs="黑体"/>
      <w:sz w:val="24"/>
      <w:szCs w:val="24"/>
    </w:rPr>
  </w:style>
  <w:style w:type="paragraph" w:customStyle="1" w:styleId="125">
    <w:name w:val="标题一"/>
    <w:basedOn w:val="4"/>
    <w:qFormat/>
    <w:uiPriority w:val="99"/>
    <w:pPr>
      <w:keepNext w:val="0"/>
      <w:adjustRightInd w:val="0"/>
      <w:snapToGrid w:val="0"/>
      <w:spacing w:beforeLines="1600" w:after="0" w:line="240" w:lineRule="auto"/>
      <w:ind w:left="454"/>
      <w:jc w:val="center"/>
    </w:pPr>
  </w:style>
  <w:style w:type="paragraph" w:customStyle="1" w:styleId="126">
    <w:name w:val="节标题"/>
    <w:basedOn w:val="1"/>
    <w:qFormat/>
    <w:uiPriority w:val="99"/>
    <w:pPr>
      <w:spacing w:before="240" w:after="240"/>
      <w:jc w:val="center"/>
    </w:pPr>
    <w:rPr>
      <w:rFonts w:eastAsia="文鼎CS长美黑"/>
      <w:w w:val="95"/>
      <w:sz w:val="32"/>
      <w:szCs w:val="32"/>
    </w:rPr>
  </w:style>
  <w:style w:type="paragraph" w:customStyle="1" w:styleId="127">
    <w:name w:val="样式5"/>
    <w:qFormat/>
    <w:uiPriority w:val="99"/>
    <w:pPr>
      <w:adjustRightInd w:val="0"/>
      <w:snapToGrid w:val="0"/>
      <w:spacing w:beforeLines="15" w:afterLines="15" w:line="360" w:lineRule="auto"/>
      <w:ind w:left="200" w:leftChars="200"/>
    </w:pPr>
    <w:rPr>
      <w:rFonts w:ascii="宋体" w:hAnsi="Times New Roman" w:eastAsia="宋体" w:cs="宋体"/>
      <w:kern w:val="2"/>
      <w:sz w:val="21"/>
      <w:szCs w:val="21"/>
      <w:lang w:val="en-US" w:eastAsia="zh-CN" w:bidi="ar-SA"/>
    </w:rPr>
  </w:style>
  <w:style w:type="paragraph" w:customStyle="1" w:styleId="128">
    <w:name w:val="表头文字"/>
    <w:basedOn w:val="1"/>
    <w:qFormat/>
    <w:uiPriority w:val="99"/>
    <w:pPr>
      <w:spacing w:beforeLines="50" w:afterLines="50" w:line="360" w:lineRule="auto"/>
      <w:jc w:val="right"/>
    </w:pPr>
    <w:rPr>
      <w:color w:val="FF0000"/>
    </w:rPr>
  </w:style>
  <w:style w:type="paragraph" w:customStyle="1" w:styleId="129">
    <w:name w:val="表头"/>
    <w:basedOn w:val="1"/>
    <w:qFormat/>
    <w:uiPriority w:val="99"/>
    <w:pPr>
      <w:adjustRightInd w:val="0"/>
      <w:spacing w:before="120" w:after="60" w:line="420" w:lineRule="atLeast"/>
      <w:textAlignment w:val="baseline"/>
    </w:pPr>
    <w:rPr>
      <w:rFonts w:ascii="黑体" w:eastAsia="黑体" w:cs="黑体"/>
      <w:b/>
      <w:bCs/>
      <w:kern w:val="0"/>
    </w:rPr>
  </w:style>
  <w:style w:type="paragraph" w:customStyle="1" w:styleId="130">
    <w:name w:val="xl36"/>
    <w:basedOn w:val="1"/>
    <w:qFormat/>
    <w:uiPriority w:val="99"/>
    <w:pPr>
      <w:widowControl/>
      <w:spacing w:before="100" w:beforeAutospacing="1" w:after="100" w:afterAutospacing="1"/>
      <w:jc w:val="left"/>
    </w:pPr>
    <w:rPr>
      <w:rFonts w:ascii="黑体" w:hAnsi="宋体" w:eastAsia="黑体" w:cs="黑体"/>
      <w:color w:val="000000"/>
      <w:kern w:val="0"/>
      <w:sz w:val="24"/>
      <w:szCs w:val="24"/>
    </w:rPr>
  </w:style>
  <w:style w:type="paragraph" w:customStyle="1" w:styleId="131">
    <w:name w:val="样式1"/>
    <w:basedOn w:val="1"/>
    <w:qFormat/>
    <w:uiPriority w:val="99"/>
    <w:rPr>
      <w:sz w:val="18"/>
      <w:szCs w:val="18"/>
    </w:rPr>
  </w:style>
  <w:style w:type="paragraph" w:customStyle="1" w:styleId="132">
    <w:name w:val="Char"/>
    <w:basedOn w:val="1"/>
    <w:qFormat/>
    <w:uiPriority w:val="99"/>
  </w:style>
  <w:style w:type="paragraph" w:customStyle="1" w:styleId="133">
    <w:name w:val="样式 宋体 小四 首行缩进:  0.99 厘米 行距: 固定值 30 磅"/>
    <w:basedOn w:val="1"/>
    <w:qFormat/>
    <w:uiPriority w:val="99"/>
    <w:pPr>
      <w:spacing w:line="600" w:lineRule="exact"/>
      <w:ind w:firstLine="560"/>
    </w:pPr>
    <w:rPr>
      <w:rFonts w:ascii="宋体" w:hAnsi="宋体" w:cs="宋体"/>
      <w:sz w:val="28"/>
      <w:szCs w:val="28"/>
    </w:rPr>
  </w:style>
  <w:style w:type="paragraph" w:customStyle="1" w:styleId="134">
    <w:name w:val="Char Char Char Char Char Char"/>
    <w:basedOn w:val="1"/>
    <w:qFormat/>
    <w:uiPriority w:val="99"/>
  </w:style>
  <w:style w:type="paragraph" w:customStyle="1" w:styleId="135">
    <w:name w:val="font6"/>
    <w:basedOn w:val="1"/>
    <w:qFormat/>
    <w:uiPriority w:val="99"/>
    <w:pPr>
      <w:widowControl/>
      <w:spacing w:before="100" w:beforeAutospacing="1" w:after="100" w:afterAutospacing="1"/>
      <w:jc w:val="left"/>
    </w:pPr>
    <w:rPr>
      <w:rFonts w:ascii="宋体" w:hAnsi="宋体" w:cs="宋体"/>
      <w:color w:val="000000"/>
      <w:kern w:val="0"/>
    </w:rPr>
  </w:style>
  <w:style w:type="paragraph" w:customStyle="1" w:styleId="136">
    <w:name w:val="样式"/>
    <w:basedOn w:val="1"/>
    <w:next w:val="41"/>
    <w:qFormat/>
    <w:uiPriority w:val="99"/>
    <w:pPr>
      <w:adjustRightInd w:val="0"/>
      <w:ind w:firstLine="564"/>
      <w:textAlignment w:val="baseline"/>
    </w:pPr>
    <w:rPr>
      <w:rFonts w:ascii="宋体" w:cs="宋体"/>
      <w:kern w:val="0"/>
      <w:sz w:val="28"/>
      <w:szCs w:val="28"/>
    </w:rPr>
  </w:style>
  <w:style w:type="paragraph" w:customStyle="1" w:styleId="137">
    <w:name w:val="_Style 20"/>
    <w:basedOn w:val="1"/>
    <w:qFormat/>
    <w:uiPriority w:val="99"/>
  </w:style>
  <w:style w:type="paragraph" w:customStyle="1" w:styleId="138">
    <w:name w:val="格式4"/>
    <w:basedOn w:val="1"/>
    <w:qFormat/>
    <w:uiPriority w:val="99"/>
    <w:pPr>
      <w:spacing w:line="420" w:lineRule="exact"/>
      <w:ind w:left="990" w:leftChars="300" w:hanging="360" w:hangingChars="150"/>
    </w:pPr>
    <w:rPr>
      <w:rFonts w:ascii="宋体" w:hAnsi="宋体" w:cs="宋体"/>
      <w:color w:val="000000"/>
      <w:sz w:val="24"/>
      <w:szCs w:val="24"/>
    </w:rPr>
  </w:style>
  <w:style w:type="paragraph" w:customStyle="1" w:styleId="139">
    <w:name w:val="正正文"/>
    <w:basedOn w:val="1"/>
    <w:qFormat/>
    <w:uiPriority w:val="99"/>
    <w:pPr>
      <w:spacing w:line="360" w:lineRule="auto"/>
      <w:ind w:firstLine="480" w:firstLineChars="200"/>
    </w:pPr>
    <w:rPr>
      <w:rFonts w:ascii="宋体" w:hAnsi="宋体" w:cs="宋体"/>
      <w:kern w:val="0"/>
      <w:sz w:val="24"/>
      <w:szCs w:val="24"/>
    </w:rPr>
  </w:style>
  <w:style w:type="paragraph" w:customStyle="1" w:styleId="140">
    <w:name w:val="标题222"/>
    <w:basedOn w:val="1"/>
    <w:qFormat/>
    <w:uiPriority w:val="99"/>
    <w:pPr>
      <w:ind w:firstLine="200" w:firstLineChars="200"/>
      <w:jc w:val="left"/>
      <w:outlineLvl w:val="1"/>
    </w:pPr>
    <w:rPr>
      <w:rFonts w:ascii="宋体" w:hAnsi="宋体" w:cs="宋体"/>
      <w:b/>
      <w:bCs/>
      <w:sz w:val="28"/>
      <w:szCs w:val="28"/>
    </w:rPr>
  </w:style>
  <w:style w:type="paragraph" w:customStyle="1" w:styleId="141">
    <w:name w:val="TOC Heading1"/>
    <w:basedOn w:val="4"/>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42">
    <w:name w:val="格式10"/>
    <w:basedOn w:val="1"/>
    <w:qFormat/>
    <w:uiPriority w:val="99"/>
    <w:pPr>
      <w:spacing w:line="360" w:lineRule="exact"/>
      <w:ind w:left="480"/>
    </w:pPr>
    <w:rPr>
      <w:sz w:val="24"/>
      <w:szCs w:val="24"/>
    </w:rPr>
  </w:style>
  <w:style w:type="paragraph" w:customStyle="1" w:styleId="14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4">
    <w:name w:val="Char1 Char Char Char"/>
    <w:basedOn w:val="1"/>
    <w:qFormat/>
    <w:uiPriority w:val="99"/>
    <w:rPr>
      <w:rFonts w:ascii="Tahoma" w:hAnsi="Tahoma" w:cs="Tahoma"/>
      <w:sz w:val="24"/>
      <w:szCs w:val="24"/>
    </w:rPr>
  </w:style>
  <w:style w:type="paragraph" w:customStyle="1" w:styleId="145">
    <w:name w:val="正文文本 211"/>
    <w:basedOn w:val="1"/>
    <w:qFormat/>
    <w:uiPriority w:val="99"/>
    <w:pPr>
      <w:adjustRightInd w:val="0"/>
      <w:spacing w:line="360" w:lineRule="atLeast"/>
      <w:ind w:left="480"/>
      <w:textAlignment w:val="baseline"/>
    </w:pPr>
    <w:rPr>
      <w:rFonts w:ascii="宋体" w:cs="宋体"/>
      <w:kern w:val="0"/>
      <w:sz w:val="24"/>
      <w:szCs w:val="24"/>
    </w:rPr>
  </w:style>
  <w:style w:type="paragraph" w:customStyle="1" w:styleId="146">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rPr>
  </w:style>
  <w:style w:type="paragraph" w:customStyle="1" w:styleId="147">
    <w:name w:val="表格3"/>
    <w:basedOn w:val="1"/>
    <w:qFormat/>
    <w:uiPriority w:val="99"/>
    <w:pPr>
      <w:adjustRightInd w:val="0"/>
      <w:spacing w:line="420" w:lineRule="atLeast"/>
      <w:textAlignment w:val="baseline"/>
    </w:pPr>
    <w:rPr>
      <w:rFonts w:eastAsia="楷体"/>
      <w:kern w:val="0"/>
    </w:rPr>
  </w:style>
  <w:style w:type="paragraph" w:customStyle="1" w:styleId="148">
    <w:name w:val="样式 标题 2 + Times New Roman 四号 非加粗 段前: 5 磅 段后: 0 磅 行距: 固定值 20..."/>
    <w:basedOn w:val="5"/>
    <w:qFormat/>
    <w:uiPriority w:val="99"/>
    <w:pPr>
      <w:spacing w:before="100" w:after="0" w:line="400" w:lineRule="exact"/>
    </w:pPr>
    <w:rPr>
      <w:rFonts w:ascii="Times New Roman" w:hAnsi="Times New Roman" w:cs="Times New Roman"/>
      <w:b w:val="0"/>
      <w:bCs w:val="0"/>
      <w:sz w:val="28"/>
      <w:szCs w:val="28"/>
    </w:rPr>
  </w:style>
  <w:style w:type="paragraph" w:customStyle="1" w:styleId="149">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黑体"/>
      <w:color w:val="000000"/>
      <w:kern w:val="0"/>
    </w:rPr>
  </w:style>
  <w:style w:type="paragraph" w:customStyle="1" w:styleId="150">
    <w:name w:val="格式2"/>
    <w:qFormat/>
    <w:uiPriority w:val="99"/>
    <w:pPr>
      <w:widowControl w:val="0"/>
      <w:adjustRightInd w:val="0"/>
      <w:snapToGrid w:val="0"/>
      <w:spacing w:before="50" w:line="440" w:lineRule="exact"/>
      <w:jc w:val="both"/>
    </w:pPr>
    <w:rPr>
      <w:rFonts w:ascii="Times New Roman" w:hAnsi="Times New Roman" w:eastAsia="宋体" w:cs="Times New Roman"/>
      <w:sz w:val="24"/>
      <w:szCs w:val="24"/>
      <w:lang w:val="en-US" w:eastAsia="zh-CN" w:bidi="ar-SA"/>
    </w:rPr>
  </w:style>
  <w:style w:type="paragraph" w:customStyle="1" w:styleId="151">
    <w:name w:val="格式1"/>
    <w:basedOn w:val="1"/>
    <w:qFormat/>
    <w:uiPriority w:val="99"/>
    <w:pPr>
      <w:spacing w:beforeLines="50"/>
      <w:jc w:val="center"/>
    </w:pPr>
    <w:rPr>
      <w:rFonts w:ascii="黑体" w:hAnsi="宋体" w:eastAsia="黑体" w:cs="黑体"/>
      <w:b/>
      <w:bCs/>
      <w:color w:val="000000"/>
      <w:sz w:val="32"/>
      <w:szCs w:val="32"/>
    </w:rPr>
  </w:style>
  <w:style w:type="paragraph" w:customStyle="1" w:styleId="152">
    <w:name w:val="正文 + 宋体"/>
    <w:basedOn w:val="1"/>
    <w:qFormat/>
    <w:uiPriority w:val="99"/>
    <w:pPr>
      <w:adjustRightInd w:val="0"/>
      <w:snapToGrid w:val="0"/>
      <w:spacing w:line="360" w:lineRule="auto"/>
      <w:ind w:left="567"/>
    </w:pPr>
    <w:rPr>
      <w:rFonts w:ascii="宋体" w:hAnsi="宋体" w:cs="宋体"/>
      <w:kern w:val="0"/>
      <w:sz w:val="24"/>
      <w:szCs w:val="24"/>
    </w:rPr>
  </w:style>
  <w:style w:type="paragraph" w:customStyle="1" w:styleId="153">
    <w:name w:val="font8"/>
    <w:basedOn w:val="1"/>
    <w:qFormat/>
    <w:uiPriority w:val="99"/>
    <w:pPr>
      <w:widowControl/>
      <w:spacing w:before="100" w:beforeAutospacing="1" w:after="100" w:afterAutospacing="1"/>
      <w:jc w:val="left"/>
    </w:pPr>
    <w:rPr>
      <w:color w:val="000000"/>
      <w:kern w:val="0"/>
    </w:rPr>
  </w:style>
  <w:style w:type="paragraph" w:customStyle="1" w:styleId="154">
    <w:name w:val="标题111"/>
    <w:basedOn w:val="1"/>
    <w:qFormat/>
    <w:uiPriority w:val="99"/>
    <w:pPr>
      <w:jc w:val="left"/>
      <w:outlineLvl w:val="0"/>
    </w:pPr>
    <w:rPr>
      <w:rFonts w:ascii="宋体" w:hAnsi="宋体" w:cs="宋体"/>
      <w:b/>
      <w:bCs/>
      <w:sz w:val="28"/>
      <w:szCs w:val="28"/>
    </w:rPr>
  </w:style>
  <w:style w:type="paragraph" w:customStyle="1" w:styleId="155">
    <w:name w:val="Char Char Char1 Char Char Char Char Char Char Char Char Char Char Char Char Char Char Char Char Char Char Char"/>
    <w:basedOn w:val="1"/>
    <w:qFormat/>
    <w:uiPriority w:val="99"/>
  </w:style>
  <w:style w:type="paragraph" w:customStyle="1" w:styleId="156">
    <w:name w:val="表名A"/>
    <w:basedOn w:val="1"/>
    <w:qFormat/>
    <w:uiPriority w:val="99"/>
    <w:pPr>
      <w:widowControl/>
      <w:tabs>
        <w:tab w:val="center" w:pos="4860"/>
        <w:tab w:val="right" w:pos="8820"/>
      </w:tabs>
      <w:adjustRightInd w:val="0"/>
      <w:snapToGrid w:val="0"/>
      <w:spacing w:beforeLines="80" w:afterLines="20"/>
    </w:pPr>
    <w:rPr>
      <w:rFonts w:ascii="华文细黑" w:hAnsi="华文细黑" w:eastAsia="华文细黑" w:cs="华文细黑"/>
      <w:kern w:val="0"/>
    </w:rPr>
  </w:style>
  <w:style w:type="paragraph" w:customStyle="1" w:styleId="157">
    <w:name w:val="xl30"/>
    <w:basedOn w:val="1"/>
    <w:qFormat/>
    <w:uiPriority w:val="99"/>
    <w:pPr>
      <w:widowControl/>
      <w:pBdr>
        <w:left w:val="single" w:color="auto" w:sz="6" w:space="0"/>
        <w:bottom w:val="single" w:color="auto" w:sz="6" w:space="0"/>
        <w:right w:val="single" w:color="auto" w:sz="6" w:space="0"/>
      </w:pBdr>
      <w:adjustRightInd w:val="0"/>
      <w:spacing w:before="100" w:after="100"/>
      <w:jc w:val="center"/>
      <w:textAlignment w:val="center"/>
    </w:pPr>
    <w:rPr>
      <w:rFonts w:ascii="宋体" w:hAnsi="宋体" w:cs="宋体"/>
      <w:kern w:val="0"/>
    </w:rPr>
  </w:style>
  <w:style w:type="paragraph" w:customStyle="1" w:styleId="158">
    <w:name w:val="二级条标题"/>
    <w:basedOn w:val="159"/>
    <w:next w:val="160"/>
    <w:qFormat/>
    <w:uiPriority w:val="99"/>
    <w:pPr>
      <w:ind w:left="540"/>
      <w:outlineLvl w:val="3"/>
    </w:pPr>
  </w:style>
  <w:style w:type="paragraph" w:customStyle="1" w:styleId="159">
    <w:name w:val="一级条标题"/>
    <w:next w:val="160"/>
    <w:qFormat/>
    <w:uiPriority w:val="99"/>
    <w:pPr>
      <w:outlineLvl w:val="2"/>
    </w:pPr>
    <w:rPr>
      <w:rFonts w:ascii="Times New Roman" w:hAnsi="Times New Roman" w:eastAsia="黑体" w:cs="Times New Roman"/>
      <w:sz w:val="21"/>
      <w:szCs w:val="21"/>
      <w:lang w:val="en-US" w:eastAsia="zh-CN" w:bidi="ar-SA"/>
    </w:rPr>
  </w:style>
  <w:style w:type="paragraph" w:customStyle="1" w:styleId="160">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61">
    <w:name w:val="表1"/>
    <w:basedOn w:val="1"/>
    <w:qFormat/>
    <w:uiPriority w:val="99"/>
    <w:pPr>
      <w:tabs>
        <w:tab w:val="left" w:pos="360"/>
      </w:tabs>
      <w:overflowPunct w:val="0"/>
      <w:autoSpaceDE w:val="0"/>
      <w:autoSpaceDN w:val="0"/>
      <w:adjustRightInd w:val="0"/>
      <w:spacing w:before="200" w:line="320" w:lineRule="atLeast"/>
      <w:textAlignment w:val="baseline"/>
    </w:pPr>
    <w:rPr>
      <w:kern w:val="0"/>
      <w:sz w:val="24"/>
      <w:szCs w:val="24"/>
    </w:rPr>
  </w:style>
  <w:style w:type="paragraph" w:customStyle="1" w:styleId="162">
    <w:name w:val="Char Char Char Char Char Char1"/>
    <w:basedOn w:val="1"/>
    <w:qFormat/>
    <w:uiPriority w:val="99"/>
  </w:style>
  <w:style w:type="paragraph" w:customStyle="1" w:styleId="163">
    <w:name w:val="表中"/>
    <w:basedOn w:val="1"/>
    <w:qFormat/>
    <w:uiPriority w:val="99"/>
    <w:pPr>
      <w:adjustRightInd w:val="0"/>
      <w:spacing w:line="360" w:lineRule="atLeast"/>
      <w:jc w:val="center"/>
      <w:textAlignment w:val="baseline"/>
    </w:pPr>
    <w:rPr>
      <w:kern w:val="0"/>
    </w:rPr>
  </w:style>
  <w:style w:type="paragraph" w:customStyle="1" w:styleId="164">
    <w:name w:val="正文2"/>
    <w:basedOn w:val="1"/>
    <w:qFormat/>
    <w:uiPriority w:val="99"/>
    <w:pPr>
      <w:adjustRightInd w:val="0"/>
      <w:spacing w:line="420" w:lineRule="atLeast"/>
      <w:textAlignment w:val="baseline"/>
    </w:pPr>
    <w:rPr>
      <w:kern w:val="0"/>
    </w:rPr>
  </w:style>
  <w:style w:type="paragraph" w:customStyle="1" w:styleId="165">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color w:val="000000"/>
      <w:kern w:val="0"/>
    </w:rPr>
  </w:style>
  <w:style w:type="paragraph" w:customStyle="1" w:styleId="166">
    <w:name w:val="Char Char Char Char Char Char Char Char Char Char Char Char Char Char Char Char Char Char Char Char Char Char Char Char Char"/>
    <w:basedOn w:val="1"/>
    <w:qFormat/>
    <w:uiPriority w:val="99"/>
  </w:style>
  <w:style w:type="paragraph" w:customStyle="1" w:styleId="167">
    <w:name w:val="af15hichaf0dbchf15cgrid"/>
    <w:qFormat/>
    <w:uiPriority w:val="99"/>
    <w:pPr>
      <w:widowControl w:val="0"/>
      <w:tabs>
        <w:tab w:val="center" w:pos="4320"/>
        <w:tab w:val="right" w:pos="8640"/>
      </w:tabs>
      <w:adjustRightInd w:val="0"/>
      <w:spacing w:line="315" w:lineRule="atLeast"/>
      <w:jc w:val="both"/>
      <w:textAlignment w:val="baseline"/>
    </w:pPr>
    <w:rPr>
      <w:rFonts w:ascii="宋体" w:hAnsi="Times New Roman" w:eastAsia="宋体" w:cs="宋体"/>
      <w:sz w:val="21"/>
      <w:szCs w:val="21"/>
      <w:lang w:val="en-US" w:eastAsia="zh-CN" w:bidi="ar-SA"/>
    </w:rPr>
  </w:style>
  <w:style w:type="paragraph" w:customStyle="1" w:styleId="168">
    <w:name w:val="三级条标题1"/>
    <w:basedOn w:val="1"/>
    <w:next w:val="1"/>
    <w:qFormat/>
    <w:uiPriority w:val="99"/>
    <w:pPr>
      <w:widowControl/>
      <w:ind w:left="900"/>
      <w:jc w:val="left"/>
      <w:outlineLvl w:val="4"/>
    </w:pPr>
    <w:rPr>
      <w:rFonts w:eastAsia="黑体"/>
      <w:kern w:val="0"/>
    </w:rPr>
  </w:style>
  <w:style w:type="paragraph" w:customStyle="1" w:styleId="169">
    <w:name w:val="Char4"/>
    <w:basedOn w:val="1"/>
    <w:qFormat/>
    <w:uiPriority w:val="99"/>
    <w:rPr>
      <w:rFonts w:ascii="Tahoma" w:hAnsi="Tahoma" w:cs="Tahoma"/>
      <w:sz w:val="24"/>
      <w:szCs w:val="24"/>
    </w:rPr>
  </w:style>
  <w:style w:type="paragraph" w:customStyle="1" w:styleId="170">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黑体"/>
      <w:color w:val="000000"/>
      <w:kern w:val="0"/>
    </w:rPr>
  </w:style>
  <w:style w:type="paragraph" w:customStyle="1" w:styleId="171">
    <w:name w:val="表格2"/>
    <w:basedOn w:val="1"/>
    <w:qFormat/>
    <w:uiPriority w:val="99"/>
    <w:pPr>
      <w:adjustRightInd w:val="0"/>
      <w:spacing w:line="420" w:lineRule="atLeast"/>
      <w:ind w:left="284" w:firstLine="454"/>
      <w:textAlignment w:val="baseline"/>
    </w:pPr>
    <w:rPr>
      <w:kern w:val="0"/>
    </w:rPr>
  </w:style>
  <w:style w:type="paragraph" w:customStyle="1" w:styleId="172">
    <w:name w:val="格式３"/>
    <w:basedOn w:val="1"/>
    <w:qFormat/>
    <w:uiPriority w:val="99"/>
    <w:pPr>
      <w:spacing w:line="420" w:lineRule="exact"/>
      <w:ind w:left="600" w:hanging="600" w:hangingChars="250"/>
    </w:pPr>
    <w:rPr>
      <w:rFonts w:ascii="宋体" w:hAnsi="宋体" w:cs="宋体"/>
      <w:color w:val="000000"/>
      <w:sz w:val="24"/>
      <w:szCs w:val="24"/>
    </w:rPr>
  </w:style>
  <w:style w:type="paragraph" w:customStyle="1" w:styleId="173">
    <w:name w:val="正文1"/>
    <w:qFormat/>
    <w:uiPriority w:val="99"/>
    <w:pPr>
      <w:widowControl w:val="0"/>
      <w:adjustRightInd w:val="0"/>
      <w:spacing w:line="312" w:lineRule="atLeast"/>
      <w:jc w:val="both"/>
      <w:textAlignment w:val="baseline"/>
    </w:pPr>
    <w:rPr>
      <w:rFonts w:ascii="宋体" w:hAnsi="Times New Roman" w:eastAsia="宋体" w:cs="宋体"/>
      <w:sz w:val="34"/>
      <w:szCs w:val="34"/>
      <w:lang w:val="en-US" w:eastAsia="zh-CN" w:bidi="ar-SA"/>
    </w:rPr>
  </w:style>
  <w:style w:type="paragraph" w:customStyle="1" w:styleId="174">
    <w:name w:val="xl35"/>
    <w:basedOn w:val="1"/>
    <w:qFormat/>
    <w:uiPriority w:val="99"/>
    <w:pPr>
      <w:widowControl/>
      <w:pBdr>
        <w:bottom w:val="single" w:color="auto" w:sz="4" w:space="0"/>
      </w:pBdr>
      <w:spacing w:before="100" w:beforeAutospacing="1" w:after="100" w:afterAutospacing="1"/>
      <w:jc w:val="left"/>
    </w:pPr>
    <w:rPr>
      <w:color w:val="000000"/>
      <w:kern w:val="0"/>
    </w:rPr>
  </w:style>
  <w:style w:type="paragraph" w:customStyle="1" w:styleId="175">
    <w:name w:val="正文文本缩进 21"/>
    <w:basedOn w:val="1"/>
    <w:qFormat/>
    <w:uiPriority w:val="99"/>
    <w:pPr>
      <w:adjustRightInd w:val="0"/>
      <w:spacing w:line="400" w:lineRule="atLeast"/>
      <w:ind w:firstLine="540"/>
      <w:textAlignment w:val="baseline"/>
    </w:pPr>
    <w:rPr>
      <w:rFonts w:ascii="宋体" w:cs="宋体"/>
      <w:kern w:val="0"/>
      <w:sz w:val="24"/>
      <w:szCs w:val="24"/>
    </w:rPr>
  </w:style>
  <w:style w:type="paragraph" w:customStyle="1" w:styleId="176">
    <w:name w:val="Char Char Char"/>
    <w:basedOn w:val="1"/>
    <w:qFormat/>
    <w:uiPriority w:val="99"/>
    <w:pPr>
      <w:spacing w:line="360" w:lineRule="auto"/>
      <w:ind w:firstLine="200" w:firstLineChars="200"/>
    </w:pPr>
    <w:rPr>
      <w:rFonts w:ascii="宋体" w:hAnsi="宋体" w:cs="宋体"/>
      <w:sz w:val="24"/>
      <w:szCs w:val="24"/>
    </w:rPr>
  </w:style>
  <w:style w:type="paragraph" w:customStyle="1" w:styleId="177">
    <w:name w:val="xl33"/>
    <w:basedOn w:val="1"/>
    <w:qFormat/>
    <w:uiPriority w:val="99"/>
    <w:pPr>
      <w:widowControl/>
      <w:pBdr>
        <w:bottom w:val="single" w:color="auto" w:sz="4" w:space="0"/>
      </w:pBdr>
      <w:spacing w:before="100" w:beforeAutospacing="1" w:after="100" w:afterAutospacing="1"/>
      <w:jc w:val="left"/>
    </w:pPr>
    <w:rPr>
      <w:rFonts w:ascii="宋体" w:hAnsi="宋体" w:cs="宋体"/>
      <w:color w:val="000000"/>
      <w:kern w:val="0"/>
    </w:rPr>
  </w:style>
  <w:style w:type="paragraph" w:customStyle="1" w:styleId="178">
    <w:name w:val="列出段落1"/>
    <w:basedOn w:val="1"/>
    <w:qFormat/>
    <w:uiPriority w:val="99"/>
    <w:pPr>
      <w:adjustRightInd w:val="0"/>
      <w:spacing w:line="420" w:lineRule="atLeast"/>
      <w:ind w:firstLine="420" w:firstLineChars="200"/>
      <w:textAlignment w:val="baseline"/>
    </w:pPr>
    <w:rPr>
      <w:kern w:val="0"/>
    </w:rPr>
  </w:style>
  <w:style w:type="paragraph" w:customStyle="1" w:styleId="179">
    <w:name w:val="目录1"/>
    <w:basedOn w:val="1"/>
    <w:qFormat/>
    <w:uiPriority w:val="99"/>
    <w:pPr>
      <w:adjustRightInd w:val="0"/>
      <w:spacing w:line="420" w:lineRule="atLeast"/>
      <w:textAlignment w:val="baseline"/>
    </w:pPr>
    <w:rPr>
      <w:rFonts w:eastAsia="黑体"/>
      <w:b/>
      <w:bCs/>
      <w:kern w:val="0"/>
    </w:rPr>
  </w:style>
  <w:style w:type="paragraph" w:customStyle="1" w:styleId="180">
    <w:name w:val="Char Char Char Char"/>
    <w:basedOn w:val="1"/>
    <w:qFormat/>
    <w:uiPriority w:val="99"/>
  </w:style>
  <w:style w:type="paragraph" w:customStyle="1" w:styleId="181">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color w:val="000000"/>
      <w:kern w:val="0"/>
    </w:rPr>
  </w:style>
  <w:style w:type="paragraph" w:customStyle="1" w:styleId="182">
    <w:name w:val="xl40"/>
    <w:basedOn w:val="1"/>
    <w:qFormat/>
    <w:uiPriority w:val="99"/>
    <w:pPr>
      <w:widowControl/>
      <w:pBdr>
        <w:bottom w:val="single" w:color="auto" w:sz="4" w:space="0"/>
      </w:pBdr>
      <w:spacing w:before="100" w:beforeAutospacing="1" w:after="100" w:afterAutospacing="1"/>
      <w:jc w:val="left"/>
    </w:pPr>
    <w:rPr>
      <w:rFonts w:ascii="宋体" w:hAnsi="宋体" w:cs="宋体"/>
      <w:color w:val="000000"/>
      <w:kern w:val="0"/>
    </w:rPr>
  </w:style>
  <w:style w:type="paragraph" w:customStyle="1" w:styleId="183">
    <w:name w:val="表格下注"/>
    <w:basedOn w:val="1"/>
    <w:qFormat/>
    <w:uiPriority w:val="99"/>
    <w:pPr>
      <w:spacing w:before="163" w:after="120" w:line="400" w:lineRule="exact"/>
    </w:pPr>
    <w:rPr>
      <w:rFonts w:ascii="宋体" w:hAnsi="宋体" w:cs="宋体"/>
      <w:sz w:val="18"/>
      <w:szCs w:val="18"/>
    </w:rPr>
  </w:style>
  <w:style w:type="paragraph" w:customStyle="1" w:styleId="184">
    <w:name w:val="正文11"/>
    <w:qFormat/>
    <w:uiPriority w:val="99"/>
    <w:pPr>
      <w:widowControl w:val="0"/>
      <w:adjustRightInd w:val="0"/>
      <w:spacing w:line="312" w:lineRule="atLeast"/>
      <w:jc w:val="both"/>
      <w:textAlignment w:val="baseline"/>
    </w:pPr>
    <w:rPr>
      <w:rFonts w:ascii="宋体" w:hAnsi="Times New Roman" w:eastAsia="宋体" w:cs="宋体"/>
      <w:sz w:val="34"/>
      <w:szCs w:val="34"/>
      <w:lang w:val="en-US" w:eastAsia="zh-CN" w:bidi="ar-SA"/>
    </w:rPr>
  </w:style>
  <w:style w:type="paragraph" w:customStyle="1" w:styleId="185">
    <w:name w:val="样式 标题 1 + 黑体 三号 非加粗 居中 段前: 6 磅 段后: 6 磅 行距: 固定值 20 磅"/>
    <w:basedOn w:val="4"/>
    <w:qFormat/>
    <w:uiPriority w:val="99"/>
    <w:pPr>
      <w:spacing w:before="120" w:after="120" w:line="400" w:lineRule="exact"/>
      <w:jc w:val="center"/>
    </w:pPr>
    <w:rPr>
      <w:rFonts w:ascii="黑体" w:hAnsi="黑体" w:eastAsia="黑体" w:cs="黑体"/>
      <w:b w:val="0"/>
      <w:bCs w:val="0"/>
      <w:sz w:val="32"/>
      <w:szCs w:val="32"/>
    </w:rPr>
  </w:style>
  <w:style w:type="paragraph" w:customStyle="1" w:styleId="186">
    <w:name w:val="xl34"/>
    <w:basedOn w:val="1"/>
    <w:qFormat/>
    <w:uiPriority w:val="99"/>
    <w:pPr>
      <w:widowControl/>
      <w:pBdr>
        <w:bottom w:val="single" w:color="auto" w:sz="4" w:space="0"/>
      </w:pBdr>
      <w:spacing w:before="100" w:beforeAutospacing="1" w:after="100" w:afterAutospacing="1"/>
      <w:jc w:val="left"/>
    </w:pPr>
    <w:rPr>
      <w:rFonts w:ascii="宋体" w:hAnsi="宋体" w:cs="宋体"/>
      <w:color w:val="000000"/>
      <w:kern w:val="0"/>
    </w:rPr>
  </w:style>
  <w:style w:type="paragraph" w:customStyle="1" w:styleId="187">
    <w:name w:val="目录3"/>
    <w:basedOn w:val="1"/>
    <w:qFormat/>
    <w:uiPriority w:val="99"/>
    <w:pPr>
      <w:adjustRightInd w:val="0"/>
      <w:spacing w:line="420" w:lineRule="atLeast"/>
      <w:ind w:left="454"/>
      <w:textAlignment w:val="baseline"/>
    </w:pPr>
    <w:rPr>
      <w:kern w:val="0"/>
    </w:rPr>
  </w:style>
  <w:style w:type="paragraph" w:customStyle="1" w:styleId="188">
    <w:name w:val="样式3"/>
    <w:basedOn w:val="1"/>
    <w:qFormat/>
    <w:uiPriority w:val="99"/>
    <w:pPr>
      <w:tabs>
        <w:tab w:val="left" w:pos="945"/>
      </w:tabs>
      <w:adjustRightInd w:val="0"/>
      <w:snapToGrid w:val="0"/>
      <w:spacing w:before="120" w:after="120" w:line="312" w:lineRule="auto"/>
      <w:ind w:firstLine="567"/>
    </w:pPr>
    <w:rPr>
      <w:rFonts w:ascii="宋体" w:hAnsi="宋体" w:cs="宋体"/>
      <w:b/>
      <w:bCs/>
      <w:sz w:val="28"/>
      <w:szCs w:val="28"/>
    </w:rPr>
  </w:style>
  <w:style w:type="paragraph" w:customStyle="1" w:styleId="189">
    <w:name w:val="xl4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rPr>
  </w:style>
  <w:style w:type="paragraph" w:customStyle="1" w:styleId="190">
    <w:name w:val="表格文字"/>
    <w:basedOn w:val="1"/>
    <w:qFormat/>
    <w:uiPriority w:val="99"/>
    <w:pPr>
      <w:adjustRightInd w:val="0"/>
      <w:spacing w:line="420" w:lineRule="atLeast"/>
      <w:jc w:val="left"/>
      <w:textAlignment w:val="baseline"/>
    </w:pPr>
    <w:rPr>
      <w:kern w:val="0"/>
    </w:rPr>
  </w:style>
  <w:style w:type="paragraph" w:customStyle="1" w:styleId="19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color w:val="000000"/>
      <w:kern w:val="0"/>
    </w:rPr>
  </w:style>
  <w:style w:type="paragraph" w:customStyle="1" w:styleId="192">
    <w:name w:val="zhw"/>
    <w:basedOn w:val="1"/>
    <w:qFormat/>
    <w:uiPriority w:val="99"/>
    <w:pPr>
      <w:adjustRightInd w:val="0"/>
      <w:spacing w:line="140" w:lineRule="atLeast"/>
      <w:jc w:val="left"/>
      <w:textAlignment w:val="baseline"/>
    </w:pPr>
    <w:rPr>
      <w:rFonts w:ascii="Arial" w:hAnsi="Arial" w:cs="Arial"/>
      <w:sz w:val="24"/>
      <w:szCs w:val="24"/>
    </w:rPr>
  </w:style>
  <w:style w:type="paragraph" w:customStyle="1" w:styleId="193">
    <w:name w:val="op_exactqa_s_prop"/>
    <w:basedOn w:val="1"/>
    <w:qFormat/>
    <w:uiPriority w:val="99"/>
    <w:pPr>
      <w:widowControl/>
      <w:jc w:val="left"/>
    </w:pPr>
    <w:rPr>
      <w:rFonts w:ascii="宋体" w:hAnsi="宋体" w:cs="宋体"/>
      <w:kern w:val="0"/>
      <w:sz w:val="24"/>
      <w:szCs w:val="24"/>
    </w:rPr>
  </w:style>
  <w:style w:type="paragraph" w:customStyle="1" w:styleId="194">
    <w:name w:val="正文111"/>
    <w:basedOn w:val="1"/>
    <w:qFormat/>
    <w:uiPriority w:val="99"/>
    <w:pPr>
      <w:spacing w:line="360" w:lineRule="auto"/>
      <w:ind w:firstLine="200" w:firstLineChars="200"/>
    </w:pPr>
    <w:rPr>
      <w:rFonts w:ascii="宋体" w:hAnsi="宋体" w:cs="宋体"/>
      <w:sz w:val="28"/>
      <w:szCs w:val="28"/>
    </w:rPr>
  </w:style>
  <w:style w:type="paragraph" w:customStyle="1" w:styleId="195">
    <w:name w:val="正文文本缩进 22"/>
    <w:basedOn w:val="1"/>
    <w:qFormat/>
    <w:uiPriority w:val="99"/>
    <w:pPr>
      <w:adjustRightInd w:val="0"/>
      <w:spacing w:line="400" w:lineRule="atLeast"/>
      <w:ind w:firstLine="540"/>
      <w:textAlignment w:val="baseline"/>
    </w:pPr>
    <w:rPr>
      <w:rFonts w:ascii="宋体" w:cs="宋体"/>
      <w:kern w:val="0"/>
      <w:sz w:val="24"/>
      <w:szCs w:val="24"/>
    </w:rPr>
  </w:style>
  <w:style w:type="paragraph" w:customStyle="1" w:styleId="196">
    <w:name w:val="xl42"/>
    <w:basedOn w:val="1"/>
    <w:qFormat/>
    <w:uiPriority w:val="99"/>
    <w:pPr>
      <w:widowControl/>
      <w:pBdr>
        <w:top w:val="single" w:color="auto" w:sz="4" w:space="0"/>
        <w:bottom w:val="single" w:color="auto" w:sz="4" w:space="0"/>
      </w:pBdr>
      <w:spacing w:before="100" w:beforeAutospacing="1" w:after="100" w:afterAutospacing="1"/>
      <w:jc w:val="center"/>
    </w:pPr>
    <w:rPr>
      <w:color w:val="000000"/>
      <w:kern w:val="0"/>
    </w:rPr>
  </w:style>
  <w:style w:type="paragraph" w:styleId="197">
    <w:name w:val="List Paragraph"/>
    <w:basedOn w:val="1"/>
    <w:qFormat/>
    <w:uiPriority w:val="99"/>
    <w:pPr>
      <w:ind w:firstLine="420" w:firstLineChars="200"/>
    </w:pPr>
  </w:style>
  <w:style w:type="paragraph" w:customStyle="1" w:styleId="198">
    <w:name w:val="6'"/>
    <w:basedOn w:val="1"/>
    <w:qFormat/>
    <w:uiPriority w:val="99"/>
    <w:pPr>
      <w:autoSpaceDE w:val="0"/>
      <w:autoSpaceDN w:val="0"/>
      <w:adjustRightInd w:val="0"/>
      <w:snapToGrid w:val="0"/>
      <w:spacing w:line="320" w:lineRule="exact"/>
      <w:jc w:val="center"/>
      <w:textAlignment w:val="baseline"/>
    </w:pPr>
    <w:rPr>
      <w:spacing w:val="20"/>
      <w:kern w:val="28"/>
    </w:rPr>
  </w:style>
  <w:style w:type="paragraph" w:customStyle="1" w:styleId="199">
    <w:name w:val="表格方字"/>
    <w:basedOn w:val="1"/>
    <w:qFormat/>
    <w:uiPriority w:val="99"/>
    <w:pPr>
      <w:adjustRightInd w:val="0"/>
      <w:spacing w:line="420" w:lineRule="atLeast"/>
      <w:jc w:val="left"/>
      <w:textAlignment w:val="baseline"/>
    </w:pPr>
    <w:rPr>
      <w:kern w:val="0"/>
    </w:rPr>
  </w:style>
  <w:style w:type="paragraph" w:customStyle="1" w:styleId="200">
    <w:name w:val="Char Char Char Char Char Char Char Char Char Char Char Char Char Char Char Char"/>
    <w:basedOn w:val="1"/>
    <w:qFormat/>
    <w:uiPriority w:val="99"/>
    <w:pPr>
      <w:spacing w:line="520" w:lineRule="exact"/>
    </w:pPr>
    <w:rPr>
      <w:rFonts w:ascii="宋体" w:hAnsi="宋体" w:cs="宋体"/>
      <w:sz w:val="24"/>
      <w:szCs w:val="24"/>
    </w:rPr>
  </w:style>
  <w:style w:type="paragraph" w:customStyle="1" w:styleId="201">
    <w:name w:val="表文C"/>
    <w:basedOn w:val="1"/>
    <w:qFormat/>
    <w:uiPriority w:val="99"/>
    <w:pPr>
      <w:widowControl/>
      <w:tabs>
        <w:tab w:val="left" w:pos="0"/>
      </w:tabs>
      <w:adjustRightInd w:val="0"/>
      <w:snapToGrid w:val="0"/>
      <w:jc w:val="center"/>
    </w:pPr>
    <w:rPr>
      <w:kern w:val="0"/>
    </w:rPr>
  </w:style>
  <w:style w:type="paragraph" w:customStyle="1" w:styleId="202">
    <w:name w:val="表格6"/>
    <w:basedOn w:val="1"/>
    <w:qFormat/>
    <w:uiPriority w:val="99"/>
    <w:pPr>
      <w:adjustRightInd w:val="0"/>
      <w:spacing w:line="420" w:lineRule="atLeast"/>
      <w:ind w:left="737"/>
      <w:textAlignment w:val="baseline"/>
    </w:pPr>
    <w:rPr>
      <w:rFonts w:ascii="宋体" w:cs="宋体"/>
      <w:kern w:val="0"/>
    </w:rPr>
  </w:style>
  <w:style w:type="paragraph" w:customStyle="1" w:styleId="203">
    <w:name w:val="一级标题"/>
    <w:basedOn w:val="1"/>
    <w:qFormat/>
    <w:uiPriority w:val="99"/>
    <w:pPr>
      <w:spacing w:beforeLines="50" w:afterLines="50" w:line="360" w:lineRule="auto"/>
      <w:jc w:val="left"/>
    </w:pPr>
    <w:rPr>
      <w:rFonts w:ascii="黑体" w:hAnsi="Arial" w:eastAsia="黑体" w:cs="黑体"/>
      <w:sz w:val="24"/>
      <w:szCs w:val="24"/>
      <w:lang w:val="en-GB"/>
    </w:rPr>
  </w:style>
  <w:style w:type="paragraph" w:customStyle="1" w:styleId="204">
    <w:name w:val="Char Char Char Char1"/>
    <w:basedOn w:val="1"/>
    <w:qFormat/>
    <w:uiPriority w:val="99"/>
  </w:style>
  <w:style w:type="paragraph" w:customStyle="1" w:styleId="205">
    <w:name w:val="样式 标题 3 + (中文) 黑体 小四 非加粗 段前: 7.8 磅 段后: 0 磅 行距: 固定值 20 磅"/>
    <w:basedOn w:val="6"/>
    <w:next w:val="1"/>
    <w:qFormat/>
    <w:uiPriority w:val="99"/>
    <w:pPr>
      <w:spacing w:before="0" w:after="0" w:line="400" w:lineRule="exact"/>
    </w:pPr>
    <w:rPr>
      <w:rFonts w:eastAsia="黑体"/>
      <w:b w:val="0"/>
      <w:bCs w:val="0"/>
      <w:sz w:val="24"/>
      <w:szCs w:val="24"/>
    </w:rPr>
  </w:style>
  <w:style w:type="paragraph" w:customStyle="1" w:styleId="206">
    <w:name w:val="Char Char Char1"/>
    <w:basedOn w:val="1"/>
    <w:qFormat/>
    <w:uiPriority w:val="99"/>
    <w:pPr>
      <w:spacing w:line="360" w:lineRule="auto"/>
      <w:ind w:firstLine="200" w:firstLineChars="200"/>
    </w:pPr>
    <w:rPr>
      <w:rFonts w:ascii="宋体" w:hAnsi="宋体" w:cs="宋体"/>
      <w:sz w:val="24"/>
      <w:szCs w:val="24"/>
    </w:rPr>
  </w:style>
  <w:style w:type="paragraph" w:customStyle="1" w:styleId="207">
    <w:name w:val="xl43"/>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color w:val="000000"/>
      <w:kern w:val="0"/>
    </w:rPr>
  </w:style>
  <w:style w:type="paragraph" w:customStyle="1" w:styleId="208">
    <w:name w:val="样式2"/>
    <w:basedOn w:val="48"/>
    <w:qFormat/>
    <w:uiPriority w:val="99"/>
    <w:pPr>
      <w:spacing w:line="315" w:lineRule="atLeast"/>
    </w:pPr>
    <w:rPr>
      <w:rFonts w:ascii="Cambria" w:hAnsi="Cambria" w:cs="Cambria"/>
    </w:rPr>
  </w:style>
  <w:style w:type="paragraph" w:customStyle="1" w:styleId="209">
    <w:name w:val="前言、引言标题"/>
    <w:next w:val="1"/>
    <w:qFormat/>
    <w:uiPriority w:val="99"/>
    <w:pPr>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210">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color w:val="000000"/>
      <w:kern w:val="0"/>
    </w:rPr>
  </w:style>
  <w:style w:type="paragraph" w:customStyle="1" w:styleId="211">
    <w:name w:val="1"/>
    <w:basedOn w:val="1"/>
    <w:next w:val="1"/>
    <w:qFormat/>
    <w:uiPriority w:val="99"/>
  </w:style>
  <w:style w:type="paragraph" w:customStyle="1" w:styleId="21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13">
    <w:name w:val="p0"/>
    <w:basedOn w:val="1"/>
    <w:qFormat/>
    <w:uiPriority w:val="99"/>
    <w:pPr>
      <w:widowControl/>
    </w:pPr>
    <w:rPr>
      <w:rFonts w:ascii="宋体" w:cs="宋体"/>
      <w:kern w:val="0"/>
      <w:position w:val="-6"/>
    </w:rPr>
  </w:style>
  <w:style w:type="paragraph" w:customStyle="1" w:styleId="214">
    <w:name w:val="样式 加粗 居中"/>
    <w:basedOn w:val="1"/>
    <w:qFormat/>
    <w:uiPriority w:val="99"/>
    <w:pPr>
      <w:jc w:val="center"/>
    </w:pPr>
    <w:rPr>
      <w:b/>
      <w:bCs/>
    </w:rPr>
  </w:style>
  <w:style w:type="paragraph" w:customStyle="1" w:styleId="215">
    <w:name w:val="Char1"/>
    <w:basedOn w:val="1"/>
    <w:qFormat/>
    <w:uiPriority w:val="99"/>
    <w:rPr>
      <w:rFonts w:ascii="宋体" w:cs="宋体"/>
      <w:kern w:val="0"/>
    </w:rPr>
  </w:style>
  <w:style w:type="paragraph" w:customStyle="1" w:styleId="216">
    <w:name w:val="Char Char Char1 Char Char Char Char Char Char Char Char Char Char Char Char Char Char Char Char Char Char Char2"/>
    <w:basedOn w:val="1"/>
    <w:qFormat/>
    <w:uiPriority w:val="99"/>
  </w:style>
  <w:style w:type="paragraph" w:customStyle="1" w:styleId="217">
    <w:name w:val="格式3"/>
    <w:basedOn w:val="1"/>
    <w:qFormat/>
    <w:uiPriority w:val="99"/>
    <w:pPr>
      <w:tabs>
        <w:tab w:val="left" w:pos="1304"/>
      </w:tabs>
      <w:adjustRightInd w:val="0"/>
      <w:snapToGrid w:val="0"/>
      <w:spacing w:beforeLines="15" w:afterLines="15" w:line="440" w:lineRule="exact"/>
      <w:ind w:left="1304" w:hanging="453"/>
    </w:pPr>
    <w:rPr>
      <w:color w:val="0000FF"/>
      <w:sz w:val="24"/>
      <w:szCs w:val="24"/>
    </w:rPr>
  </w:style>
  <w:style w:type="paragraph" w:customStyle="1" w:styleId="218">
    <w:name w:val="二级标题"/>
    <w:basedOn w:val="1"/>
    <w:qFormat/>
    <w:uiPriority w:val="99"/>
    <w:pPr>
      <w:adjustRightInd w:val="0"/>
      <w:snapToGrid w:val="0"/>
      <w:spacing w:line="360" w:lineRule="exact"/>
      <w:jc w:val="left"/>
      <w:outlineLvl w:val="0"/>
    </w:pPr>
    <w:rPr>
      <w:rFonts w:ascii="宋体" w:hAnsi="宋体" w:cs="宋体"/>
      <w:b/>
      <w:bCs/>
      <w:color w:val="FF0000"/>
      <w:lang w:val="en-GB"/>
    </w:rPr>
  </w:style>
  <w:style w:type="paragraph" w:customStyle="1" w:styleId="219">
    <w:name w:val="表格1"/>
    <w:basedOn w:val="1"/>
    <w:qFormat/>
    <w:uiPriority w:val="99"/>
    <w:pPr>
      <w:adjustRightInd w:val="0"/>
      <w:spacing w:line="420" w:lineRule="atLeast"/>
      <w:ind w:left="284"/>
      <w:textAlignment w:val="baseline"/>
    </w:pPr>
    <w:rPr>
      <w:kern w:val="0"/>
    </w:rPr>
  </w:style>
  <w:style w:type="paragraph" w:customStyle="1" w:styleId="220">
    <w:name w:val="正文A"/>
    <w:link w:val="233"/>
    <w:qFormat/>
    <w:uiPriority w:val="99"/>
    <w:pPr>
      <w:tabs>
        <w:tab w:val="left" w:pos="0"/>
      </w:tabs>
      <w:adjustRightInd w:val="0"/>
      <w:spacing w:line="360" w:lineRule="auto"/>
      <w:ind w:firstLine="200" w:firstLineChars="200"/>
      <w:jc w:val="both"/>
    </w:pPr>
    <w:rPr>
      <w:rFonts w:ascii="Times New Roman" w:hAnsi="Times New Roman" w:eastAsia="宋体" w:cs="Times New Roman"/>
      <w:snapToGrid w:val="0"/>
      <w:sz w:val="22"/>
      <w:szCs w:val="22"/>
      <w:lang w:val="en-US" w:eastAsia="zh-CN" w:bidi="ar-SA"/>
    </w:rPr>
  </w:style>
  <w:style w:type="paragraph" w:customStyle="1" w:styleId="221">
    <w:name w:val="Char11"/>
    <w:basedOn w:val="1"/>
    <w:qFormat/>
    <w:uiPriority w:val="99"/>
  </w:style>
  <w:style w:type="paragraph" w:customStyle="1" w:styleId="222">
    <w:name w:val="目录2"/>
    <w:basedOn w:val="1"/>
    <w:qFormat/>
    <w:uiPriority w:val="99"/>
    <w:pPr>
      <w:adjustRightInd w:val="0"/>
      <w:spacing w:line="420" w:lineRule="atLeast"/>
      <w:ind w:left="227"/>
      <w:textAlignment w:val="baseline"/>
    </w:pPr>
    <w:rPr>
      <w:kern w:val="0"/>
    </w:rPr>
  </w:style>
  <w:style w:type="paragraph" w:customStyle="1" w:styleId="223">
    <w:name w:val="章标题"/>
    <w:next w:val="160"/>
    <w:qFormat/>
    <w:uiPriority w:val="99"/>
    <w:pPr>
      <w:spacing w:beforeLines="50" w:afterLines="50"/>
      <w:jc w:val="both"/>
      <w:outlineLvl w:val="1"/>
    </w:pPr>
    <w:rPr>
      <w:rFonts w:ascii="黑体" w:hAnsi="Times New Roman" w:eastAsia="黑体" w:cs="黑体"/>
      <w:sz w:val="21"/>
      <w:szCs w:val="21"/>
      <w:lang w:val="en-US" w:eastAsia="zh-CN" w:bidi="ar-SA"/>
    </w:rPr>
  </w:style>
  <w:style w:type="paragraph" w:customStyle="1" w:styleId="224">
    <w:name w:val="三级条标题"/>
    <w:basedOn w:val="158"/>
    <w:next w:val="160"/>
    <w:qFormat/>
    <w:uiPriority w:val="99"/>
    <w:pPr>
      <w:outlineLvl w:val="4"/>
    </w:pPr>
  </w:style>
  <w:style w:type="paragraph" w:customStyle="1" w:styleId="225">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rPr>
  </w:style>
  <w:style w:type="paragraph" w:customStyle="1" w:styleId="226">
    <w:name w:val="Char Char Char1 Char"/>
    <w:basedOn w:val="5"/>
    <w:next w:val="1"/>
    <w:qFormat/>
    <w:uiPriority w:val="99"/>
    <w:pPr>
      <w:snapToGrid w:val="0"/>
      <w:spacing w:before="120" w:after="120" w:line="240" w:lineRule="auto"/>
      <w:jc w:val="left"/>
    </w:pPr>
  </w:style>
  <w:style w:type="paragraph" w:customStyle="1" w:styleId="227">
    <w:name w:val="表格"/>
    <w:basedOn w:val="1"/>
    <w:qFormat/>
    <w:uiPriority w:val="99"/>
    <w:pPr>
      <w:jc w:val="center"/>
      <w:textAlignment w:val="center"/>
    </w:pPr>
    <w:rPr>
      <w:rFonts w:ascii="华文细黑" w:hAnsi="华文细黑" w:cs="华文细黑"/>
      <w:kern w:val="0"/>
    </w:rPr>
  </w:style>
  <w:style w:type="paragraph" w:customStyle="1" w:styleId="228">
    <w:name w:val="font7"/>
    <w:basedOn w:val="1"/>
    <w:qFormat/>
    <w:uiPriority w:val="99"/>
    <w:pPr>
      <w:widowControl/>
      <w:spacing w:before="100" w:beforeAutospacing="1" w:after="100" w:afterAutospacing="1"/>
      <w:jc w:val="left"/>
    </w:pPr>
    <w:rPr>
      <w:color w:val="000000"/>
      <w:kern w:val="0"/>
    </w:rPr>
  </w:style>
  <w:style w:type="paragraph" w:customStyle="1" w:styleId="229">
    <w:name w:val="默认段落字体 Para Char Char Char Char"/>
    <w:basedOn w:val="1"/>
    <w:qFormat/>
    <w:uiPriority w:val="99"/>
  </w:style>
  <w:style w:type="paragraph" w:customStyle="1" w:styleId="230">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黑体"/>
      <w:color w:val="000000"/>
      <w:kern w:val="0"/>
    </w:rPr>
  </w:style>
  <w:style w:type="paragraph" w:customStyle="1" w:styleId="231">
    <w:name w:val="2"/>
    <w:basedOn w:val="1"/>
    <w:next w:val="1"/>
    <w:qFormat/>
    <w:uiPriority w:val="99"/>
    <w:rPr>
      <w:rFonts w:ascii="宋体" w:cs="宋体"/>
      <w:b/>
      <w:bCs/>
      <w:sz w:val="24"/>
      <w:szCs w:val="24"/>
    </w:rPr>
  </w:style>
  <w:style w:type="paragraph" w:customStyle="1" w:styleId="232">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rPr>
  </w:style>
  <w:style w:type="character" w:customStyle="1" w:styleId="233">
    <w:name w:val="正文A Char"/>
    <w:link w:val="220"/>
    <w:qFormat/>
    <w:uiPriority w:val="99"/>
    <w:rPr>
      <w:snapToGrid w:val="0"/>
      <w:sz w:val="22"/>
      <w:szCs w:val="22"/>
      <w:lang w:bidi="ar-SA"/>
    </w:rPr>
  </w:style>
  <w:style w:type="paragraph" w:customStyle="1" w:styleId="234">
    <w:name w:val="Char3"/>
    <w:basedOn w:val="1"/>
    <w:qFormat/>
    <w:uiPriority w:val="99"/>
    <w:rPr>
      <w:rFonts w:ascii="Tahoma" w:hAnsi="Tahoma" w:cs="Tahoma"/>
      <w:sz w:val="24"/>
      <w:szCs w:val="24"/>
    </w:rPr>
  </w:style>
  <w:style w:type="paragraph" w:customStyle="1" w:styleId="235">
    <w:name w:val="Char Char Char1 Char Char Char Char Char Char Char Char Char Char Char Char Char Char Char Char Char Char Char1"/>
    <w:basedOn w:val="1"/>
    <w:qFormat/>
    <w:uiPriority w:val="99"/>
  </w:style>
  <w:style w:type="paragraph" w:customStyle="1" w:styleId="236">
    <w:name w:val="Char2"/>
    <w:basedOn w:val="1"/>
    <w:qFormat/>
    <w:uiPriority w:val="99"/>
    <w:rPr>
      <w:rFonts w:ascii="Tahoma" w:hAnsi="Tahoma" w:cs="Tahoma"/>
      <w:sz w:val="24"/>
      <w:szCs w:val="24"/>
    </w:rPr>
  </w:style>
  <w:style w:type="paragraph" w:customStyle="1" w:styleId="237">
    <w:name w:val="样式 样式 样式 样式 样式 样式 正文 + 首行缩进:  2.25 字符 + 首行缩进:  2.25 字符 + 首行缩进:  ...1"/>
    <w:basedOn w:val="1"/>
    <w:qFormat/>
    <w:uiPriority w:val="99"/>
    <w:pPr>
      <w:spacing w:line="360" w:lineRule="auto"/>
      <w:ind w:firstLine="200" w:firstLineChars="200"/>
    </w:pPr>
    <w:rPr>
      <w:rFonts w:eastAsia="幼圆"/>
      <w:spacing w:val="4"/>
      <w:sz w:val="24"/>
      <w:szCs w:val="24"/>
    </w:rPr>
  </w:style>
  <w:style w:type="paragraph" w:customStyle="1" w:styleId="238">
    <w:name w:val="样式 样式 样式 样式 样式 样式 样式 正文 + 首行缩进:  2.25 字符 + 首行缩进:  2.25 字符 + 首行缩进..."/>
    <w:basedOn w:val="237"/>
    <w:qFormat/>
    <w:uiPriority w:val="99"/>
  </w:style>
  <w:style w:type="paragraph" w:customStyle="1" w:styleId="239">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40">
    <w:name w:val="Revision1"/>
    <w:hidden/>
    <w:semiHidden/>
    <w:qFormat/>
    <w:uiPriority w:val="99"/>
    <w:rPr>
      <w:rFonts w:ascii="Times New Roman" w:hAnsi="Times New Roman" w:eastAsia="宋体" w:cs="Times New Roman"/>
      <w:kern w:val="2"/>
      <w:sz w:val="21"/>
      <w:szCs w:val="21"/>
      <w:lang w:val="en-US" w:eastAsia="zh-CN" w:bidi="ar-SA"/>
    </w:rPr>
  </w:style>
  <w:style w:type="paragraph" w:customStyle="1" w:styleId="241">
    <w:name w:val="简单回函地址"/>
    <w:basedOn w:val="1"/>
    <w:qFormat/>
    <w:uiPriority w:val="99"/>
  </w:style>
  <w:style w:type="character" w:customStyle="1" w:styleId="242">
    <w:name w:val="正文文本 3 Char"/>
    <w:qFormat/>
    <w:uiPriority w:val="99"/>
    <w:rPr>
      <w:rFonts w:ascii="宋体" w:eastAsia="宋体" w:cs="宋体"/>
      <w:kern w:val="2"/>
      <w:sz w:val="24"/>
      <w:szCs w:val="24"/>
      <w:lang w:val="en-US" w:eastAsia="zh-CN"/>
    </w:rPr>
  </w:style>
  <w:style w:type="character" w:customStyle="1" w:styleId="243">
    <w:name w:val="标题 6 Char"/>
    <w:qFormat/>
    <w:uiPriority w:val="99"/>
    <w:rPr>
      <w:rFonts w:ascii="Arial" w:hAnsi="Arial" w:eastAsia="黑体" w:cs="Arial"/>
      <w:b/>
      <w:bCs/>
      <w:sz w:val="24"/>
      <w:szCs w:val="24"/>
      <w:lang w:val="en-US" w:eastAsia="zh-CN"/>
    </w:rPr>
  </w:style>
  <w:style w:type="character" w:customStyle="1" w:styleId="244">
    <w:name w:val="标题 3 Char"/>
    <w:qFormat/>
    <w:uiPriority w:val="99"/>
    <w:rPr>
      <w:rFonts w:eastAsia="宋体"/>
      <w:b/>
      <w:bCs/>
      <w:kern w:val="2"/>
      <w:sz w:val="32"/>
      <w:szCs w:val="32"/>
      <w:lang w:val="en-US" w:eastAsia="zh-CN"/>
    </w:rPr>
  </w:style>
  <w:style w:type="character" w:customStyle="1" w:styleId="245">
    <w:name w:val="标题 4 Char"/>
    <w:qFormat/>
    <w:uiPriority w:val="99"/>
    <w:rPr>
      <w:rFonts w:ascii="Arial" w:hAnsi="Arial" w:eastAsia="黑体" w:cs="Arial"/>
      <w:b/>
      <w:bCs/>
      <w:kern w:val="2"/>
      <w:sz w:val="28"/>
      <w:szCs w:val="28"/>
      <w:lang w:val="en-US" w:eastAsia="zh-CN"/>
    </w:rPr>
  </w:style>
  <w:style w:type="character" w:customStyle="1" w:styleId="246">
    <w:name w:val="正文缩进 Char"/>
    <w:qFormat/>
    <w:uiPriority w:val="99"/>
    <w:rPr>
      <w:rFonts w:eastAsia="宋体"/>
      <w:kern w:val="2"/>
      <w:sz w:val="24"/>
      <w:szCs w:val="24"/>
      <w:lang w:val="en-US" w:eastAsia="zh-CN"/>
    </w:rPr>
  </w:style>
  <w:style w:type="paragraph" w:customStyle="1" w:styleId="247">
    <w:name w:val="文头"/>
    <w:basedOn w:val="1"/>
    <w:qFormat/>
    <w:uiPriority w:val="99"/>
    <w:pPr>
      <w:tabs>
        <w:tab w:val="left" w:pos="6663"/>
      </w:tabs>
      <w:autoSpaceDE w:val="0"/>
      <w:autoSpaceDN w:val="0"/>
      <w:snapToGrid w:val="0"/>
      <w:spacing w:after="800" w:line="1500" w:lineRule="atLeast"/>
      <w:ind w:left="511" w:right="227" w:hanging="284"/>
      <w:jc w:val="distribute"/>
    </w:pPr>
    <w:rPr>
      <w:rFonts w:ascii="汉鼎简大宋" w:eastAsia="汉鼎简大宋" w:cs="汉鼎简大宋"/>
      <w:b/>
      <w:bCs/>
      <w:color w:val="FF0000"/>
      <w:w w:val="62"/>
      <w:kern w:val="0"/>
      <w:sz w:val="140"/>
      <w:szCs w:val="140"/>
    </w:rPr>
  </w:style>
  <w:style w:type="paragraph" w:customStyle="1" w:styleId="248">
    <w:name w:val="标题1"/>
    <w:basedOn w:val="1"/>
    <w:next w:val="1"/>
    <w:qFormat/>
    <w:uiPriority w:val="99"/>
    <w:pPr>
      <w:tabs>
        <w:tab w:val="left" w:pos="9193"/>
        <w:tab w:val="left" w:pos="9827"/>
      </w:tabs>
      <w:autoSpaceDE w:val="0"/>
      <w:autoSpaceDN w:val="0"/>
      <w:snapToGrid w:val="0"/>
      <w:spacing w:line="700" w:lineRule="atLeast"/>
      <w:jc w:val="center"/>
    </w:pPr>
    <w:rPr>
      <w:rFonts w:eastAsia="方正小标宋_GBK"/>
      <w:kern w:val="0"/>
      <w:sz w:val="44"/>
      <w:szCs w:val="44"/>
    </w:rPr>
  </w:style>
  <w:style w:type="paragraph" w:customStyle="1" w:styleId="249">
    <w:name w:val="样式 主题词 + 段后: 8.85 磅 行距: 固定值 26 磅"/>
    <w:basedOn w:val="1"/>
    <w:qFormat/>
    <w:uiPriority w:val="99"/>
    <w:pPr>
      <w:autoSpaceDE w:val="0"/>
      <w:autoSpaceDN w:val="0"/>
      <w:adjustRightInd w:val="0"/>
      <w:spacing w:after="177" w:line="520" w:lineRule="exact"/>
      <w:jc w:val="left"/>
    </w:pPr>
    <w:rPr>
      <w:rFonts w:ascii="方正黑体_GBK" w:eastAsia="方正黑体_GBK" w:cs="方正黑体_GBK"/>
      <w:kern w:val="0"/>
      <w:sz w:val="32"/>
      <w:szCs w:val="32"/>
    </w:rPr>
  </w:style>
  <w:style w:type="paragraph" w:customStyle="1" w:styleId="250">
    <w:name w:val="附件栏"/>
    <w:basedOn w:val="1"/>
    <w:qFormat/>
    <w:uiPriority w:val="99"/>
    <w:pPr>
      <w:autoSpaceDE w:val="0"/>
      <w:autoSpaceDN w:val="0"/>
      <w:snapToGrid w:val="0"/>
      <w:spacing w:line="590" w:lineRule="atLeast"/>
      <w:ind w:firstLine="624"/>
    </w:pPr>
    <w:rPr>
      <w:rFonts w:eastAsia="仿宋"/>
      <w:kern w:val="0"/>
      <w:sz w:val="32"/>
      <w:szCs w:val="32"/>
    </w:rPr>
  </w:style>
  <w:style w:type="paragraph" w:customStyle="1" w:styleId="251">
    <w:name w:val="红线"/>
    <w:basedOn w:val="4"/>
    <w:qFormat/>
    <w:uiPriority w:val="99"/>
    <w:pPr>
      <w:keepNext w:val="0"/>
      <w:keepLines w:val="0"/>
      <w:autoSpaceDE w:val="0"/>
      <w:autoSpaceDN w:val="0"/>
      <w:adjustRightInd w:val="0"/>
      <w:spacing w:before="0" w:after="851" w:line="227" w:lineRule="atLeast"/>
      <w:ind w:right="-142"/>
      <w:jc w:val="center"/>
      <w:outlineLvl w:val="9"/>
    </w:pPr>
    <w:rPr>
      <w:rFonts w:ascii="宋体" w:cs="宋体"/>
      <w:kern w:val="0"/>
      <w:sz w:val="10"/>
      <w:szCs w:val="10"/>
    </w:rPr>
  </w:style>
  <w:style w:type="character" w:customStyle="1" w:styleId="252">
    <w:name w:val="font21"/>
    <w:qFormat/>
    <w:uiPriority w:val="99"/>
    <w:rPr>
      <w:rFonts w:ascii="宋体" w:hAnsi="宋体" w:eastAsia="宋体" w:cs="宋体"/>
      <w:color w:val="000000"/>
      <w:sz w:val="22"/>
      <w:szCs w:val="22"/>
      <w:u w:val="none"/>
    </w:rPr>
  </w:style>
  <w:style w:type="character" w:customStyle="1" w:styleId="253">
    <w:name w:val="font01"/>
    <w:qFormat/>
    <w:uiPriority w:val="99"/>
    <w:rPr>
      <w:rFonts w:ascii="宋体" w:hAnsi="宋体" w:eastAsia="宋体" w:cs="宋体"/>
      <w:b/>
      <w:bCs/>
      <w:color w:val="000000"/>
      <w:sz w:val="22"/>
      <w:szCs w:val="22"/>
      <w:u w:val="none"/>
    </w:rPr>
  </w:style>
  <w:style w:type="paragraph" w:customStyle="1" w:styleId="254">
    <w:name w:val="标题 51"/>
    <w:basedOn w:val="1"/>
    <w:qFormat/>
    <w:uiPriority w:val="1"/>
    <w:pPr>
      <w:autoSpaceDE w:val="0"/>
      <w:autoSpaceDN w:val="0"/>
      <w:ind w:left="488"/>
      <w:jc w:val="left"/>
      <w:outlineLvl w:val="5"/>
    </w:pPr>
    <w:rPr>
      <w:rFonts w:ascii="Noto Sans CJK JP Regular" w:hAnsi="Noto Sans CJK JP Regular" w:eastAsia="Noto Sans CJK JP Regular" w:cs="Noto Sans CJK JP Regular"/>
      <w:kern w:val="0"/>
      <w:sz w:val="24"/>
      <w:szCs w:val="24"/>
      <w:lang w:eastAsia="en-US"/>
    </w:rPr>
  </w:style>
  <w:style w:type="paragraph" w:customStyle="1" w:styleId="255">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b/>
      <w:bCs/>
      <w:sz w:val="32"/>
      <w:szCs w:val="20"/>
    </w:rPr>
  </w:style>
  <w:style w:type="paragraph" w:customStyle="1" w:styleId="256">
    <w:name w:val="标题 5 + (西文) Arial Narrow"/>
    <w:basedOn w:val="7"/>
    <w:qFormat/>
    <w:uiPriority w:val="0"/>
    <w:pPr>
      <w:adjustRightInd w:val="0"/>
      <w:snapToGrid w:val="0"/>
      <w:spacing w:beforeLines="100" w:afterLines="100" w:line="360" w:lineRule="auto"/>
      <w:jc w:val="center"/>
    </w:pPr>
    <w:rPr>
      <w:rFonts w:ascii="Arial Narrow" w:hAnsi="Arial Narrow" w:eastAsia="宋体"/>
      <w:kern w:val="0"/>
    </w:rPr>
  </w:style>
  <w:style w:type="paragraph" w:customStyle="1" w:styleId="257">
    <w:name w:val="WPSOffice手动目录 1"/>
    <w:qFormat/>
    <w:uiPriority w:val="0"/>
    <w:rPr>
      <w:rFonts w:ascii="Times New Roman" w:hAnsi="Times New Roman" w:eastAsia="宋体" w:cs="Times New Roman"/>
      <w:lang w:val="en-US" w:eastAsia="zh-CN" w:bidi="ar-SA"/>
    </w:rPr>
  </w:style>
  <w:style w:type="paragraph" w:customStyle="1" w:styleId="258">
    <w:name w:val="Table Paragraph"/>
    <w:basedOn w:val="1"/>
    <w:qFormat/>
    <w:uiPriority w:val="1"/>
    <w:pPr>
      <w:autoSpaceDE w:val="0"/>
      <w:autoSpaceDN w:val="0"/>
      <w:adjustRightInd w:val="0"/>
      <w:jc w:val="left"/>
    </w:pPr>
    <w:rPr>
      <w:kern w:val="0"/>
      <w:sz w:val="24"/>
      <w:szCs w:val="24"/>
    </w:rPr>
  </w:style>
  <w:style w:type="paragraph" w:customStyle="1" w:styleId="259">
    <w:name w:val="Revision"/>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textRotate="1"/>
    <customShpInfo spid="_x0000_s4098" textRotate="1"/>
    <customShpInfo spid="_x0000_s4099" textRotate="1"/>
    <customShpInfo spid="_x0000_s410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88</Pages>
  <Words>6685</Words>
  <Characters>38107</Characters>
  <Lines>317</Lines>
  <Paragraphs>89</Paragraphs>
  <TotalTime>0</TotalTime>
  <ScaleCrop>false</ScaleCrop>
  <LinksUpToDate>false</LinksUpToDate>
  <CharactersWithSpaces>44703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2021-05-26T10:35:00Z</dcterms:created>
  <dc:creator>1</dc:creator>
  <cp:lastModifiedBy>咦咦咦</cp:lastModifiedBy>
  <cp:lastPrinted>2021-12-01T23:34:00Z</cp:lastPrinted>
  <dcterms:modified xsi:type="dcterms:W3CDTF">2021-12-02T01:04:09Z</dcterms:modified>
  <dc:title>中华人民共和国</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79EFA35142464F77B929CD8787BC3D8D</vt:lpwstr>
  </property>
</Properties>
</file>